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24"/>
        </w:rPr>
      </w:pPr>
      <w:r>
        <w:rPr>
          <w:rFonts w:hint="eastAsia" w:ascii="宋体" w:hAnsi="宋体"/>
          <w:b/>
          <w:sz w:val="24"/>
        </w:rPr>
        <w:t>茶叶生产许可证审查细则（2006版）</w:t>
      </w:r>
    </w:p>
    <w:sdt>
      <w:sdtPr>
        <w:rPr>
          <w:rFonts w:ascii="宋体" w:hAnsi="宋体" w:eastAsia="宋体" w:cs="Times New Roman"/>
          <w:color w:val="auto"/>
          <w:kern w:val="2"/>
          <w:sz w:val="24"/>
          <w:szCs w:val="24"/>
          <w:lang w:val="zh-CN"/>
        </w:rPr>
        <w:id w:val="1570998507"/>
        <w:docPartObj>
          <w:docPartGallery w:val="Table of Contents"/>
          <w:docPartUnique/>
        </w:docPartObj>
      </w:sdtPr>
      <w:sdtEndPr>
        <w:rPr>
          <w:rFonts w:ascii="宋体" w:hAnsi="宋体" w:eastAsia="宋体" w:cs="Times New Roman"/>
          <w:b/>
          <w:bCs/>
          <w:color w:val="auto"/>
          <w:kern w:val="2"/>
          <w:sz w:val="24"/>
          <w:szCs w:val="24"/>
          <w:lang w:val="zh-CN"/>
        </w:rPr>
      </w:sdtEndPr>
      <w:sdtContent>
        <w:p>
          <w:pPr>
            <w:pStyle w:val="20"/>
            <w:spacing w:before="0" w:line="360" w:lineRule="auto"/>
            <w:jc w:val="center"/>
            <w:rPr>
              <w:rFonts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lang w:val="zh-CN"/>
              <w14:textFill>
                <w14:solidFill>
                  <w14:schemeClr w14:val="tx1"/>
                </w14:solidFill>
              </w14:textFill>
            </w:rPr>
            <w:t>目录</w:t>
          </w:r>
        </w:p>
        <w:p>
          <w:pPr>
            <w:pStyle w:val="9"/>
            <w:tabs>
              <w:tab w:val="right" w:leader="dot" w:pos="8494"/>
            </w:tabs>
            <w:spacing w:line="360" w:lineRule="auto"/>
            <w:rPr>
              <w:rFonts w:ascii="宋体" w:hAnsi="宋体"/>
              <w:sz w:val="24"/>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"_Toc33029700" </w:instrText>
          </w:r>
          <w:r>
            <w:fldChar w:fldCharType="separate"/>
          </w:r>
          <w:r>
            <w:rPr>
              <w:rStyle w:val="13"/>
              <w:rFonts w:hint="eastAsia" w:ascii="宋体" w:hAnsi="宋体"/>
              <w:sz w:val="24"/>
            </w:rPr>
            <w:t>一、发证产品范围及申证单元</w:t>
          </w:r>
          <w:r>
            <w:rPr>
              <w:rFonts w:ascii="宋体" w:hAnsi="宋体"/>
              <w:sz w:val="24"/>
            </w:rPr>
            <w:tab/>
          </w:r>
          <w:r>
            <w:rPr>
              <w:rFonts w:ascii="宋体" w:hAnsi="宋体"/>
              <w:sz w:val="24"/>
            </w:rPr>
            <w:fldChar w:fldCharType="begin"/>
          </w:r>
          <w:r>
            <w:rPr>
              <w:rFonts w:ascii="宋体" w:hAnsi="宋体"/>
              <w:sz w:val="24"/>
            </w:rPr>
            <w:instrText xml:space="preserve"> PAGEREF _Toc33029700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"_Toc33029701" </w:instrText>
          </w:r>
          <w:r>
            <w:fldChar w:fldCharType="separate"/>
          </w:r>
          <w:r>
            <w:rPr>
              <w:rStyle w:val="13"/>
              <w:rFonts w:hint="eastAsia" w:ascii="宋体" w:hAnsi="宋体"/>
              <w:sz w:val="24"/>
            </w:rPr>
            <w:t>二、基本生产流程及关键控制环节</w:t>
          </w:r>
          <w:r>
            <w:rPr>
              <w:rFonts w:ascii="宋体" w:hAnsi="宋体"/>
              <w:sz w:val="24"/>
            </w:rPr>
            <w:tab/>
          </w:r>
          <w:r>
            <w:rPr>
              <w:rFonts w:ascii="宋体" w:hAnsi="宋体"/>
              <w:sz w:val="24"/>
            </w:rPr>
            <w:fldChar w:fldCharType="begin"/>
          </w:r>
          <w:r>
            <w:rPr>
              <w:rFonts w:ascii="宋体" w:hAnsi="宋体"/>
              <w:sz w:val="24"/>
            </w:rPr>
            <w:instrText xml:space="preserve"> PAGEREF _Toc33029701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"_Toc33029702" </w:instrText>
          </w:r>
          <w:r>
            <w:fldChar w:fldCharType="separate"/>
          </w:r>
          <w:r>
            <w:rPr>
              <w:rStyle w:val="13"/>
              <w:rFonts w:hint="eastAsia" w:ascii="宋体" w:hAnsi="宋体"/>
              <w:sz w:val="24"/>
            </w:rPr>
            <w:t>（一）基本生产流程</w:t>
          </w:r>
          <w:r>
            <w:rPr>
              <w:rFonts w:ascii="宋体" w:hAnsi="宋体"/>
              <w:sz w:val="24"/>
            </w:rPr>
            <w:tab/>
          </w:r>
          <w:r>
            <w:rPr>
              <w:rFonts w:ascii="宋体" w:hAnsi="宋体"/>
              <w:sz w:val="24"/>
            </w:rPr>
            <w:fldChar w:fldCharType="begin"/>
          </w:r>
          <w:r>
            <w:rPr>
              <w:rFonts w:ascii="宋体" w:hAnsi="宋体"/>
              <w:sz w:val="24"/>
            </w:rPr>
            <w:instrText xml:space="preserve"> PAGEREF _Toc33029702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"_Toc33029703" </w:instrText>
          </w:r>
          <w:r>
            <w:fldChar w:fldCharType="separate"/>
          </w:r>
          <w:r>
            <w:rPr>
              <w:rStyle w:val="13"/>
              <w:rFonts w:hint="eastAsia" w:ascii="宋体" w:hAnsi="宋体"/>
              <w:sz w:val="24"/>
            </w:rPr>
            <w:t>（二）容易出现的质量安全问题</w:t>
          </w:r>
          <w:r>
            <w:rPr>
              <w:rFonts w:ascii="宋体" w:hAnsi="宋体"/>
              <w:sz w:val="24"/>
            </w:rPr>
            <w:tab/>
          </w:r>
          <w:r>
            <w:rPr>
              <w:rFonts w:ascii="宋体" w:hAnsi="宋体"/>
              <w:sz w:val="24"/>
            </w:rPr>
            <w:fldChar w:fldCharType="begin"/>
          </w:r>
          <w:r>
            <w:rPr>
              <w:rFonts w:ascii="宋体" w:hAnsi="宋体"/>
              <w:sz w:val="24"/>
            </w:rPr>
            <w:instrText xml:space="preserve"> PAGEREF _Toc33029703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"_Toc33029704" </w:instrText>
          </w:r>
          <w:r>
            <w:fldChar w:fldCharType="separate"/>
          </w:r>
          <w:r>
            <w:rPr>
              <w:rStyle w:val="13"/>
              <w:rFonts w:hint="eastAsia" w:ascii="宋体" w:hAnsi="宋体"/>
              <w:sz w:val="24"/>
            </w:rPr>
            <w:t>（三）关键控制环节</w:t>
          </w:r>
          <w:r>
            <w:rPr>
              <w:rFonts w:ascii="宋体" w:hAnsi="宋体"/>
              <w:sz w:val="24"/>
            </w:rPr>
            <w:tab/>
          </w:r>
          <w:r>
            <w:rPr>
              <w:rFonts w:ascii="宋体" w:hAnsi="宋体"/>
              <w:sz w:val="24"/>
            </w:rPr>
            <w:fldChar w:fldCharType="begin"/>
          </w:r>
          <w:r>
            <w:rPr>
              <w:rFonts w:ascii="宋体" w:hAnsi="宋体"/>
              <w:sz w:val="24"/>
            </w:rPr>
            <w:instrText xml:space="preserve"> PAGEREF _Toc33029704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"_Toc33029705" </w:instrText>
          </w:r>
          <w:r>
            <w:fldChar w:fldCharType="separate"/>
          </w:r>
          <w:r>
            <w:rPr>
              <w:rStyle w:val="13"/>
              <w:rFonts w:hint="eastAsia" w:ascii="宋体" w:hAnsi="宋体"/>
              <w:sz w:val="24"/>
            </w:rPr>
            <w:t>三、必备的生产资源</w:t>
          </w:r>
          <w:r>
            <w:rPr>
              <w:rFonts w:ascii="宋体" w:hAnsi="宋体"/>
              <w:sz w:val="24"/>
            </w:rPr>
            <w:tab/>
          </w:r>
          <w:r>
            <w:rPr>
              <w:rFonts w:ascii="宋体" w:hAnsi="宋体"/>
              <w:sz w:val="24"/>
            </w:rPr>
            <w:fldChar w:fldCharType="begin"/>
          </w:r>
          <w:r>
            <w:rPr>
              <w:rFonts w:ascii="宋体" w:hAnsi="宋体"/>
              <w:sz w:val="24"/>
            </w:rPr>
            <w:instrText xml:space="preserve"> PAGEREF _Toc33029705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"_Toc33029706" </w:instrText>
          </w:r>
          <w:r>
            <w:fldChar w:fldCharType="separate"/>
          </w:r>
          <w:r>
            <w:rPr>
              <w:rStyle w:val="13"/>
              <w:rFonts w:hint="eastAsia" w:ascii="宋体" w:hAnsi="宋体"/>
              <w:sz w:val="24"/>
            </w:rPr>
            <w:t>（一）生产场所</w:t>
          </w:r>
          <w:r>
            <w:rPr>
              <w:rFonts w:ascii="宋体" w:hAnsi="宋体"/>
              <w:sz w:val="24"/>
            </w:rPr>
            <w:tab/>
          </w:r>
          <w:r>
            <w:rPr>
              <w:rFonts w:ascii="宋体" w:hAnsi="宋体"/>
              <w:sz w:val="24"/>
            </w:rPr>
            <w:fldChar w:fldCharType="begin"/>
          </w:r>
          <w:r>
            <w:rPr>
              <w:rFonts w:ascii="宋体" w:hAnsi="宋体"/>
              <w:sz w:val="24"/>
            </w:rPr>
            <w:instrText xml:space="preserve"> PAGEREF _Toc33029706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"_Toc33029707" </w:instrText>
          </w:r>
          <w:r>
            <w:fldChar w:fldCharType="separate"/>
          </w:r>
          <w:r>
            <w:rPr>
              <w:rStyle w:val="13"/>
              <w:rFonts w:hint="eastAsia" w:ascii="宋体" w:hAnsi="宋体"/>
              <w:sz w:val="24"/>
            </w:rPr>
            <w:t>（二）必备的生产设备</w:t>
          </w:r>
          <w:r>
            <w:rPr>
              <w:rFonts w:ascii="宋体" w:hAnsi="宋体"/>
              <w:sz w:val="24"/>
            </w:rPr>
            <w:tab/>
          </w:r>
          <w:r>
            <w:rPr>
              <w:rFonts w:ascii="宋体" w:hAnsi="宋体"/>
              <w:sz w:val="24"/>
            </w:rPr>
            <w:fldChar w:fldCharType="begin"/>
          </w:r>
          <w:r>
            <w:rPr>
              <w:rFonts w:ascii="宋体" w:hAnsi="宋体"/>
              <w:sz w:val="24"/>
            </w:rPr>
            <w:instrText xml:space="preserve"> PAGEREF _Toc33029707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"_Toc33029708" </w:instrText>
          </w:r>
          <w:r>
            <w:fldChar w:fldCharType="separate"/>
          </w:r>
          <w:r>
            <w:rPr>
              <w:rStyle w:val="13"/>
              <w:rFonts w:hint="eastAsia" w:ascii="宋体" w:hAnsi="宋体"/>
              <w:sz w:val="24"/>
            </w:rPr>
            <w:t>四、产品相关标准</w:t>
          </w:r>
          <w:r>
            <w:rPr>
              <w:rFonts w:ascii="宋体" w:hAnsi="宋体"/>
              <w:sz w:val="24"/>
            </w:rPr>
            <w:tab/>
          </w:r>
          <w:r>
            <w:rPr>
              <w:rFonts w:ascii="宋体" w:hAnsi="宋体"/>
              <w:sz w:val="24"/>
            </w:rPr>
            <w:fldChar w:fldCharType="begin"/>
          </w:r>
          <w:r>
            <w:rPr>
              <w:rFonts w:ascii="宋体" w:hAnsi="宋体"/>
              <w:sz w:val="24"/>
            </w:rPr>
            <w:instrText xml:space="preserve"> PAGEREF _Toc33029708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"_Toc33029709" </w:instrText>
          </w:r>
          <w:r>
            <w:fldChar w:fldCharType="separate"/>
          </w:r>
          <w:r>
            <w:rPr>
              <w:rStyle w:val="13"/>
              <w:rFonts w:hint="eastAsia" w:ascii="宋体" w:hAnsi="宋体"/>
              <w:sz w:val="24"/>
            </w:rPr>
            <w:t>五、原辅材料的有关要求</w:t>
          </w:r>
          <w:r>
            <w:rPr>
              <w:rFonts w:ascii="宋体" w:hAnsi="宋体"/>
              <w:sz w:val="24"/>
            </w:rPr>
            <w:tab/>
          </w:r>
          <w:r>
            <w:rPr>
              <w:rFonts w:ascii="宋体" w:hAnsi="宋体"/>
              <w:sz w:val="24"/>
            </w:rPr>
            <w:fldChar w:fldCharType="begin"/>
          </w:r>
          <w:r>
            <w:rPr>
              <w:rFonts w:ascii="宋体" w:hAnsi="宋体"/>
              <w:sz w:val="24"/>
            </w:rPr>
            <w:instrText xml:space="preserve"> PAGEREF _Toc33029709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"_Toc33029710" </w:instrText>
          </w:r>
          <w:r>
            <w:fldChar w:fldCharType="separate"/>
          </w:r>
          <w:r>
            <w:rPr>
              <w:rStyle w:val="13"/>
              <w:rFonts w:hint="eastAsia" w:ascii="宋体" w:hAnsi="宋体"/>
              <w:sz w:val="24"/>
            </w:rPr>
            <w:t>六、必备的出厂检验设备</w:t>
          </w:r>
          <w:r>
            <w:rPr>
              <w:rFonts w:ascii="宋体" w:hAnsi="宋体"/>
              <w:sz w:val="24"/>
            </w:rPr>
            <w:tab/>
          </w:r>
          <w:r>
            <w:rPr>
              <w:rFonts w:ascii="宋体" w:hAnsi="宋体"/>
              <w:sz w:val="24"/>
            </w:rPr>
            <w:fldChar w:fldCharType="begin"/>
          </w:r>
          <w:r>
            <w:rPr>
              <w:rFonts w:ascii="宋体" w:hAnsi="宋体"/>
              <w:sz w:val="24"/>
            </w:rPr>
            <w:instrText xml:space="preserve"> PAGEREF _Toc33029710 \h </w:instrText>
          </w:r>
          <w:r>
            <w:rPr>
              <w:rFonts w:ascii="宋体" w:hAnsi="宋体"/>
              <w:sz w:val="24"/>
            </w:rPr>
            <w:fldChar w:fldCharType="separate"/>
          </w:r>
          <w:r>
            <w:rPr>
              <w:rFonts w:ascii="宋体" w:hAnsi="宋体"/>
              <w:sz w:val="24"/>
            </w:rPr>
            <w:t>4</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"_Toc33029711" </w:instrText>
          </w:r>
          <w:r>
            <w:fldChar w:fldCharType="separate"/>
          </w:r>
          <w:r>
            <w:rPr>
              <w:rStyle w:val="13"/>
              <w:rFonts w:hint="eastAsia" w:ascii="宋体" w:hAnsi="宋体"/>
              <w:sz w:val="24"/>
            </w:rPr>
            <w:t>七、检验项目</w:t>
          </w:r>
          <w:r>
            <w:rPr>
              <w:rFonts w:ascii="宋体" w:hAnsi="宋体"/>
              <w:sz w:val="24"/>
            </w:rPr>
            <w:tab/>
          </w:r>
          <w:r>
            <w:rPr>
              <w:rFonts w:ascii="宋体" w:hAnsi="宋体"/>
              <w:sz w:val="24"/>
            </w:rPr>
            <w:fldChar w:fldCharType="begin"/>
          </w:r>
          <w:r>
            <w:rPr>
              <w:rFonts w:ascii="宋体" w:hAnsi="宋体"/>
              <w:sz w:val="24"/>
            </w:rPr>
            <w:instrText xml:space="preserve"> PAGEREF _Toc33029711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"_Toc33029712" </w:instrText>
          </w:r>
          <w:r>
            <w:fldChar w:fldCharType="separate"/>
          </w:r>
          <w:r>
            <w:rPr>
              <w:rStyle w:val="13"/>
              <w:rFonts w:hint="eastAsia" w:ascii="宋体" w:hAnsi="宋体"/>
              <w:sz w:val="24"/>
            </w:rPr>
            <w:t>八、抽样方法</w:t>
          </w:r>
          <w:r>
            <w:rPr>
              <w:rFonts w:ascii="宋体" w:hAnsi="宋体"/>
              <w:sz w:val="24"/>
            </w:rPr>
            <w:tab/>
          </w:r>
          <w:r>
            <w:rPr>
              <w:rFonts w:ascii="宋体" w:hAnsi="宋体"/>
              <w:sz w:val="24"/>
            </w:rPr>
            <w:fldChar w:fldCharType="begin"/>
          </w:r>
          <w:r>
            <w:rPr>
              <w:rFonts w:ascii="宋体" w:hAnsi="宋体"/>
              <w:sz w:val="24"/>
            </w:rPr>
            <w:instrText xml:space="preserve"> PAGEREF _Toc33029712 \h </w:instrText>
          </w:r>
          <w:r>
            <w:rPr>
              <w:rFonts w:ascii="宋体" w:hAnsi="宋体"/>
              <w:sz w:val="24"/>
            </w:rPr>
            <w:fldChar w:fldCharType="separate"/>
          </w:r>
          <w:r>
            <w:rPr>
              <w:rFonts w:ascii="宋体" w:hAnsi="宋体"/>
              <w:sz w:val="24"/>
            </w:rPr>
            <w:t>6</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"_Toc33029713" </w:instrText>
          </w:r>
          <w:r>
            <w:fldChar w:fldCharType="separate"/>
          </w:r>
          <w:r>
            <w:rPr>
              <w:rStyle w:val="13"/>
              <w:rFonts w:hint="eastAsia" w:ascii="宋体" w:hAnsi="宋体"/>
              <w:sz w:val="24"/>
            </w:rPr>
            <w:t>九、其他要求</w:t>
          </w:r>
          <w:r>
            <w:rPr>
              <w:rFonts w:ascii="宋体" w:hAnsi="宋体"/>
              <w:sz w:val="24"/>
            </w:rPr>
            <w:tab/>
          </w:r>
          <w:r>
            <w:rPr>
              <w:rFonts w:ascii="宋体" w:hAnsi="宋体"/>
              <w:sz w:val="24"/>
            </w:rPr>
            <w:fldChar w:fldCharType="begin"/>
          </w:r>
          <w:r>
            <w:rPr>
              <w:rFonts w:ascii="宋体" w:hAnsi="宋体"/>
              <w:sz w:val="24"/>
            </w:rPr>
            <w:instrText xml:space="preserve"> PAGEREF _Toc33029713 \h </w:instrText>
          </w:r>
          <w:r>
            <w:rPr>
              <w:rFonts w:ascii="宋体" w:hAnsi="宋体"/>
              <w:sz w:val="24"/>
            </w:rPr>
            <w:fldChar w:fldCharType="separate"/>
          </w:r>
          <w:r>
            <w:rPr>
              <w:rFonts w:ascii="宋体" w:hAnsi="宋体"/>
              <w:sz w:val="24"/>
            </w:rPr>
            <w:t>6</w:t>
          </w:r>
          <w:r>
            <w:rPr>
              <w:rFonts w:ascii="宋体" w:hAnsi="宋体"/>
              <w:sz w:val="24"/>
            </w:rPr>
            <w:fldChar w:fldCharType="end"/>
          </w:r>
          <w:r>
            <w:rPr>
              <w:rFonts w:ascii="宋体" w:hAnsi="宋体"/>
              <w:sz w:val="24"/>
            </w:rPr>
            <w:fldChar w:fldCharType="end"/>
          </w:r>
        </w:p>
        <w:p>
          <w:pPr>
            <w:spacing w:line="360" w:lineRule="auto"/>
            <w:rPr>
              <w:rFonts w:ascii="宋体" w:hAnsi="宋体"/>
              <w:sz w:val="24"/>
            </w:rPr>
          </w:pPr>
          <w:r>
            <w:rPr>
              <w:rFonts w:ascii="宋体" w:hAnsi="宋体"/>
              <w:b/>
              <w:bCs/>
              <w:sz w:val="24"/>
              <w:lang w:val="zh-CN"/>
            </w:rPr>
            <w:fldChar w:fldCharType="end"/>
          </w:r>
        </w:p>
      </w:sdtContent>
    </w:sdt>
    <w:p>
      <w:pPr>
        <w:spacing w:line="360" w:lineRule="auto"/>
        <w:rPr>
          <w:rFonts w:ascii="宋体" w:hAnsi="宋体"/>
          <w:b/>
          <w:sz w:val="24"/>
        </w:rPr>
      </w:pPr>
    </w:p>
    <w:p>
      <w:pPr>
        <w:spacing w:line="360" w:lineRule="auto"/>
        <w:jc w:val="center"/>
        <w:rPr>
          <w:rFonts w:ascii="宋体" w:hAnsi="宋体"/>
          <w:sz w:val="24"/>
        </w:rPr>
      </w:pPr>
      <w:r>
        <w:rPr>
          <w:rFonts w:ascii="宋体" w:hAnsi="宋体"/>
          <w:sz w:val="24"/>
        </w:rPr>
        <w:br w:type="page"/>
      </w:r>
      <w:r>
        <w:rPr>
          <w:rFonts w:hint="eastAsia" w:ascii="宋体" w:hAnsi="宋体"/>
          <w:b/>
          <w:sz w:val="24"/>
        </w:rPr>
        <w:t>茶叶生产许可证审查细则（2006版）</w:t>
      </w:r>
    </w:p>
    <w:p>
      <w:pPr>
        <w:pStyle w:val="3"/>
        <w:spacing w:before="0" w:after="0" w:line="360" w:lineRule="auto"/>
        <w:rPr>
          <w:rFonts w:ascii="宋体" w:hAnsi="宋体" w:eastAsia="宋体"/>
          <w:sz w:val="24"/>
          <w:szCs w:val="24"/>
        </w:rPr>
      </w:pPr>
      <w:bookmarkStart w:id="0" w:name="_Toc33029700"/>
      <w:r>
        <w:rPr>
          <w:rFonts w:hint="eastAsia" w:ascii="宋体" w:hAnsi="宋体" w:eastAsia="宋体"/>
          <w:sz w:val="24"/>
          <w:szCs w:val="24"/>
        </w:rPr>
        <w:t>一、发证产品范围及申证单元</w:t>
      </w:r>
      <w:bookmarkEnd w:id="0"/>
    </w:p>
    <w:p>
      <w:pPr>
        <w:pStyle w:val="10"/>
        <w:spacing w:after="0" w:line="360" w:lineRule="auto"/>
        <w:ind w:firstLine="480" w:firstLineChars="200"/>
        <w:rPr>
          <w:rFonts w:ascii="宋体" w:hAnsi="宋体"/>
          <w:sz w:val="24"/>
        </w:rPr>
      </w:pPr>
      <w:r>
        <w:rPr>
          <w:rFonts w:hint="eastAsia" w:ascii="宋体" w:hAnsi="宋体"/>
          <w:sz w:val="24"/>
        </w:rPr>
        <w:t>实施食品生产许可证管理的茶叶产品包括所有以茶树鲜叶为原料加工制作的绿茶、红茶、乌龙茶、黄茶、白茶、黑茶，及经再加工制成的花茶、袋泡茶、紧压茶共9类产品，包括边销茶。果味茶、保健茶以及各种代用茶不在发证范围。</w:t>
      </w:r>
    </w:p>
    <w:p>
      <w:pPr>
        <w:pStyle w:val="10"/>
        <w:spacing w:after="0" w:line="360" w:lineRule="auto"/>
        <w:ind w:firstLine="480" w:firstLineChars="200"/>
        <w:rPr>
          <w:rFonts w:ascii="宋体" w:hAnsi="宋体"/>
          <w:sz w:val="24"/>
        </w:rPr>
      </w:pPr>
      <w:r>
        <w:rPr>
          <w:rFonts w:hint="eastAsia" w:ascii="宋体" w:hAnsi="宋体"/>
          <w:sz w:val="24"/>
        </w:rPr>
        <w:t>茶叶的申证单元为2个，茶叶、边销茶。生产许可证上应注明单元名称及产品品种，即茶叶（绿茶、红茶、乌龙茶、黄茶、白茶、黑茶、花茶、袋泡茶、紧压茶），边销茶（黑砖茶、花砖茶、茯砖茶、康砖茶、金尖茶、青砖茶、米砖茶等）；茶叶分装企业应单独注明。</w:t>
      </w:r>
    </w:p>
    <w:p>
      <w:pPr>
        <w:pStyle w:val="10"/>
        <w:spacing w:after="0" w:line="360" w:lineRule="auto"/>
        <w:ind w:firstLine="480" w:firstLineChars="200"/>
        <w:rPr>
          <w:rFonts w:ascii="宋体" w:hAnsi="宋体"/>
          <w:sz w:val="24"/>
        </w:rPr>
      </w:pPr>
      <w:r>
        <w:rPr>
          <w:rFonts w:hint="eastAsia" w:ascii="宋体" w:hAnsi="宋体"/>
          <w:sz w:val="24"/>
        </w:rPr>
        <w:t>边销茶生产许可证的审查按《边销茶生产许可证审查细则》进行。</w:t>
      </w:r>
    </w:p>
    <w:p>
      <w:pPr>
        <w:pStyle w:val="10"/>
        <w:spacing w:after="0" w:line="360" w:lineRule="auto"/>
        <w:ind w:firstLine="480" w:firstLineChars="200"/>
        <w:rPr>
          <w:rFonts w:ascii="宋体" w:hAnsi="宋体"/>
          <w:sz w:val="24"/>
        </w:rPr>
      </w:pPr>
      <w:r>
        <w:rPr>
          <w:rFonts w:hint="eastAsia" w:ascii="宋体" w:hAnsi="宋体"/>
          <w:sz w:val="24"/>
        </w:rPr>
        <w:t>茶叶生产许可证有效期为3年。其产品类别编号：1401。</w:t>
      </w:r>
    </w:p>
    <w:p>
      <w:pPr>
        <w:pStyle w:val="3"/>
        <w:spacing w:before="0" w:after="0" w:line="360" w:lineRule="auto"/>
        <w:rPr>
          <w:rFonts w:ascii="宋体" w:hAnsi="宋体" w:eastAsia="宋体"/>
          <w:sz w:val="24"/>
          <w:szCs w:val="24"/>
        </w:rPr>
      </w:pPr>
      <w:bookmarkStart w:id="1" w:name="_Toc33029701"/>
      <w:r>
        <w:rPr>
          <w:rFonts w:hint="eastAsia" w:ascii="宋体" w:hAnsi="宋体" w:eastAsia="宋体"/>
          <w:sz w:val="24"/>
          <w:szCs w:val="24"/>
        </w:rPr>
        <w:t>二、基本生产流程及关键控制环节</w:t>
      </w:r>
      <w:bookmarkEnd w:id="1"/>
    </w:p>
    <w:p>
      <w:pPr>
        <w:pStyle w:val="4"/>
        <w:spacing w:before="0" w:after="0" w:line="360" w:lineRule="auto"/>
        <w:rPr>
          <w:rFonts w:ascii="宋体" w:hAnsi="宋体"/>
          <w:sz w:val="24"/>
          <w:szCs w:val="24"/>
        </w:rPr>
      </w:pPr>
      <w:bookmarkStart w:id="2" w:name="_Toc33029702"/>
      <w:r>
        <w:rPr>
          <w:rFonts w:hint="eastAsia" w:ascii="宋体" w:hAnsi="宋体"/>
          <w:sz w:val="24"/>
          <w:szCs w:val="24"/>
        </w:rPr>
        <w:t>（一）基本生产流程</w:t>
      </w:r>
      <w:bookmarkEnd w:id="2"/>
    </w:p>
    <w:p>
      <w:pPr>
        <w:pStyle w:val="10"/>
        <w:spacing w:after="0" w:line="360" w:lineRule="auto"/>
        <w:ind w:firstLine="480" w:firstLineChars="200"/>
        <w:rPr>
          <w:rFonts w:ascii="宋体" w:hAnsi="宋体"/>
          <w:sz w:val="24"/>
        </w:rPr>
      </w:pPr>
      <w:r>
        <w:rPr>
          <w:rFonts w:hint="eastAsia" w:ascii="宋体" w:hAnsi="宋体"/>
          <w:sz w:val="24"/>
        </w:rPr>
        <w:t>1. 从鲜叶加工流程</w:t>
      </w:r>
    </w:p>
    <w:p>
      <w:pPr>
        <w:pStyle w:val="10"/>
        <w:spacing w:after="0" w:line="360" w:lineRule="auto"/>
        <w:ind w:firstLine="480" w:firstLineChars="200"/>
        <w:rPr>
          <w:rFonts w:ascii="宋体" w:hAnsi="宋体"/>
          <w:sz w:val="24"/>
        </w:rPr>
      </w:pPr>
      <w:r>
        <w:rPr>
          <w:rFonts w:hint="eastAsia" w:ascii="宋体" w:hAnsi="宋体"/>
          <w:sz w:val="24"/>
        </w:rPr>
        <w:t>鲜叶-杀青-揉捻-干燥-绿茶</w:t>
      </w:r>
    </w:p>
    <w:p>
      <w:pPr>
        <w:pStyle w:val="10"/>
        <w:spacing w:after="0" w:line="360" w:lineRule="auto"/>
        <w:ind w:firstLine="480" w:firstLineChars="200"/>
        <w:rPr>
          <w:rFonts w:ascii="宋体" w:hAnsi="宋体"/>
          <w:sz w:val="24"/>
        </w:rPr>
      </w:pPr>
      <w:r>
        <w:rPr>
          <w:rFonts w:hint="eastAsia" w:ascii="宋体" w:hAnsi="宋体"/>
          <w:sz w:val="24"/>
        </w:rPr>
        <w:t>鲜叶-萎凋-揉捻（或揉切）-发酵-干燥-红茶</w:t>
      </w:r>
    </w:p>
    <w:p>
      <w:pPr>
        <w:pStyle w:val="10"/>
        <w:spacing w:after="0" w:line="360" w:lineRule="auto"/>
        <w:ind w:firstLine="480" w:firstLineChars="200"/>
        <w:rPr>
          <w:rFonts w:ascii="宋体" w:hAnsi="宋体"/>
          <w:sz w:val="24"/>
        </w:rPr>
      </w:pPr>
      <w:r>
        <w:rPr>
          <w:rFonts w:hint="eastAsia" w:ascii="宋体" w:hAnsi="宋体"/>
          <w:sz w:val="24"/>
        </w:rPr>
        <w:t>鲜叶-萎凋-做青-杀青-揉捻-干燥-乌龙茶</w:t>
      </w:r>
    </w:p>
    <w:p>
      <w:pPr>
        <w:pStyle w:val="10"/>
        <w:spacing w:after="0" w:line="360" w:lineRule="auto"/>
        <w:ind w:firstLine="480" w:firstLineChars="200"/>
        <w:rPr>
          <w:rFonts w:ascii="宋体" w:hAnsi="宋体"/>
          <w:sz w:val="24"/>
        </w:rPr>
      </w:pPr>
      <w:r>
        <w:rPr>
          <w:rFonts w:hint="eastAsia" w:ascii="宋体" w:hAnsi="宋体"/>
          <w:sz w:val="24"/>
        </w:rPr>
        <w:t>鲜叶-杀青-揉捻-闷黄-干燥-黄茶</w:t>
      </w:r>
    </w:p>
    <w:p>
      <w:pPr>
        <w:pStyle w:val="10"/>
        <w:spacing w:after="0" w:line="360" w:lineRule="auto"/>
        <w:ind w:firstLine="480" w:firstLineChars="200"/>
        <w:rPr>
          <w:rFonts w:ascii="宋体" w:hAnsi="宋体"/>
          <w:sz w:val="24"/>
        </w:rPr>
      </w:pPr>
      <w:r>
        <w:rPr>
          <w:rFonts w:hint="eastAsia" w:ascii="宋体" w:hAnsi="宋体"/>
          <w:sz w:val="24"/>
        </w:rPr>
        <w:t>鲜叶-萎凋-干燥-白茶</w:t>
      </w:r>
    </w:p>
    <w:p>
      <w:pPr>
        <w:pStyle w:val="10"/>
        <w:spacing w:after="0" w:line="360" w:lineRule="auto"/>
        <w:ind w:firstLine="480" w:firstLineChars="200"/>
        <w:rPr>
          <w:rFonts w:ascii="宋体" w:hAnsi="宋体"/>
          <w:sz w:val="24"/>
        </w:rPr>
      </w:pPr>
      <w:r>
        <w:rPr>
          <w:rFonts w:hint="eastAsia" w:ascii="宋体" w:hAnsi="宋体"/>
          <w:sz w:val="24"/>
        </w:rPr>
        <w:t>鲜叶-杀青-揉捻-渥堆-干燥-黑茶</w:t>
      </w:r>
    </w:p>
    <w:p>
      <w:pPr>
        <w:pStyle w:val="10"/>
        <w:spacing w:after="0" w:line="360" w:lineRule="auto"/>
        <w:ind w:firstLine="480" w:firstLineChars="200"/>
        <w:rPr>
          <w:rFonts w:ascii="宋体" w:hAnsi="宋体"/>
          <w:sz w:val="24"/>
        </w:rPr>
      </w:pPr>
      <w:r>
        <w:rPr>
          <w:rFonts w:hint="eastAsia" w:ascii="宋体" w:hAnsi="宋体"/>
          <w:sz w:val="24"/>
        </w:rPr>
        <w:t>2. 从茶叶生产加工流程</w:t>
      </w:r>
    </w:p>
    <w:p>
      <w:pPr>
        <w:pStyle w:val="10"/>
        <w:spacing w:after="0" w:line="360" w:lineRule="auto"/>
        <w:ind w:firstLine="480" w:firstLineChars="200"/>
        <w:rPr>
          <w:rFonts w:ascii="宋体" w:hAnsi="宋体"/>
          <w:sz w:val="24"/>
        </w:rPr>
      </w:pPr>
      <w:r>
        <w:rPr>
          <w:rFonts w:hint="eastAsia" w:ascii="宋体" w:hAnsi="宋体"/>
          <w:sz w:val="24"/>
        </w:rPr>
        <w:t>茶叶-制坯-窨花-复火-提花-花茶</w:t>
      </w:r>
    </w:p>
    <w:p>
      <w:pPr>
        <w:pStyle w:val="10"/>
        <w:spacing w:after="0" w:line="360" w:lineRule="auto"/>
        <w:ind w:firstLine="480" w:firstLineChars="200"/>
        <w:rPr>
          <w:rFonts w:ascii="宋体" w:hAnsi="宋体"/>
          <w:sz w:val="24"/>
        </w:rPr>
      </w:pPr>
      <w:r>
        <w:rPr>
          <w:rFonts w:hint="eastAsia" w:ascii="宋体" w:hAnsi="宋体"/>
          <w:sz w:val="24"/>
        </w:rPr>
        <w:t>茶叶-拼切匀堆-包装-袋泡茶</w:t>
      </w:r>
    </w:p>
    <w:p>
      <w:pPr>
        <w:pStyle w:val="10"/>
        <w:spacing w:after="0" w:line="360" w:lineRule="auto"/>
        <w:ind w:firstLine="480" w:firstLineChars="200"/>
        <w:rPr>
          <w:rFonts w:ascii="宋体" w:hAnsi="宋体"/>
          <w:sz w:val="24"/>
        </w:rPr>
      </w:pPr>
      <w:r>
        <w:rPr>
          <w:rFonts w:hint="eastAsia" w:ascii="宋体" w:hAnsi="宋体"/>
          <w:sz w:val="24"/>
        </w:rPr>
        <w:t>3. 精制加工</w:t>
      </w:r>
    </w:p>
    <w:p>
      <w:pPr>
        <w:pStyle w:val="10"/>
        <w:spacing w:after="0" w:line="360" w:lineRule="auto"/>
        <w:ind w:firstLine="480" w:firstLineChars="200"/>
        <w:rPr>
          <w:rFonts w:ascii="宋体" w:hAnsi="宋体"/>
          <w:sz w:val="24"/>
        </w:rPr>
      </w:pPr>
      <w:r>
        <w:rPr>
          <w:rFonts w:hint="eastAsia" w:ascii="宋体" w:hAnsi="宋体"/>
          <w:sz w:val="24"/>
        </w:rPr>
        <w:t>毛茶-筛分-风选-拣梗-干燥</w:t>
      </w:r>
    </w:p>
    <w:p>
      <w:pPr>
        <w:pStyle w:val="10"/>
        <w:spacing w:after="0" w:line="360" w:lineRule="auto"/>
        <w:ind w:firstLine="480" w:firstLineChars="200"/>
        <w:rPr>
          <w:rFonts w:ascii="宋体" w:hAnsi="宋体"/>
          <w:sz w:val="24"/>
        </w:rPr>
      </w:pPr>
      <w:r>
        <w:rPr>
          <w:rFonts w:hint="eastAsia" w:ascii="宋体" w:hAnsi="宋体"/>
          <w:sz w:val="24"/>
        </w:rPr>
        <w:t>4. 分装加工</w:t>
      </w:r>
    </w:p>
    <w:p>
      <w:pPr>
        <w:pStyle w:val="10"/>
        <w:spacing w:after="0" w:line="360" w:lineRule="auto"/>
        <w:ind w:firstLine="480" w:firstLineChars="200"/>
        <w:rPr>
          <w:rFonts w:ascii="宋体" w:hAnsi="宋体"/>
          <w:sz w:val="24"/>
        </w:rPr>
      </w:pPr>
      <w:r>
        <w:rPr>
          <w:rFonts w:hint="eastAsia" w:ascii="宋体" w:hAnsi="宋体"/>
          <w:sz w:val="24"/>
        </w:rPr>
        <w:t>原料-拼配匀堆-包装</w:t>
      </w:r>
    </w:p>
    <w:p>
      <w:pPr>
        <w:pStyle w:val="4"/>
        <w:spacing w:before="0" w:after="0" w:line="360" w:lineRule="auto"/>
        <w:rPr>
          <w:rFonts w:ascii="宋体" w:hAnsi="宋体"/>
          <w:sz w:val="24"/>
          <w:szCs w:val="24"/>
        </w:rPr>
      </w:pPr>
      <w:bookmarkStart w:id="3" w:name="_Toc33029703"/>
      <w:r>
        <w:rPr>
          <w:rFonts w:hint="eastAsia" w:ascii="宋体" w:hAnsi="宋体"/>
          <w:sz w:val="24"/>
          <w:szCs w:val="24"/>
        </w:rPr>
        <w:t>（二）容易出现的质量安全问题</w:t>
      </w:r>
      <w:bookmarkEnd w:id="3"/>
    </w:p>
    <w:p>
      <w:pPr>
        <w:pStyle w:val="10"/>
        <w:spacing w:after="0" w:line="360" w:lineRule="auto"/>
        <w:ind w:firstLine="480" w:firstLineChars="200"/>
        <w:rPr>
          <w:rFonts w:ascii="宋体" w:hAnsi="宋体"/>
          <w:sz w:val="24"/>
        </w:rPr>
      </w:pPr>
      <w:r>
        <w:rPr>
          <w:rFonts w:hint="eastAsia" w:ascii="宋体" w:hAnsi="宋体"/>
          <w:sz w:val="24"/>
        </w:rPr>
        <w:t>1. 鲜叶、鲜花等原料因被有害有毒物质污染，造成茶叶产品农药残留量及重金属含量超标。</w:t>
      </w:r>
    </w:p>
    <w:p>
      <w:pPr>
        <w:pStyle w:val="10"/>
        <w:spacing w:after="0" w:line="360" w:lineRule="auto"/>
        <w:ind w:firstLine="480" w:firstLineChars="200"/>
        <w:rPr>
          <w:rFonts w:ascii="宋体" w:hAnsi="宋体"/>
          <w:sz w:val="24"/>
        </w:rPr>
      </w:pPr>
      <w:r>
        <w:rPr>
          <w:rFonts w:hint="eastAsia" w:ascii="宋体" w:hAnsi="宋体"/>
          <w:sz w:val="24"/>
        </w:rPr>
        <w:t>2. 茶叶加工过程中，各工序的工艺参数控制不当，影响茶叶卫生质量和茶叶品质。</w:t>
      </w:r>
    </w:p>
    <w:p>
      <w:pPr>
        <w:pStyle w:val="10"/>
        <w:spacing w:after="0" w:line="360" w:lineRule="auto"/>
        <w:ind w:firstLine="480" w:firstLineChars="200"/>
        <w:rPr>
          <w:rFonts w:ascii="宋体" w:hAnsi="宋体"/>
          <w:sz w:val="24"/>
        </w:rPr>
      </w:pPr>
      <w:r>
        <w:rPr>
          <w:rFonts w:hint="eastAsia" w:ascii="宋体" w:hAnsi="宋体"/>
          <w:sz w:val="24"/>
        </w:rPr>
        <w:t>3. 茶叶在加工、运输、储藏的过程中，易受设备、用具、场所和人员行为的污染，影响茶叶品质和卫生质量。</w:t>
      </w:r>
    </w:p>
    <w:p>
      <w:pPr>
        <w:pStyle w:val="4"/>
        <w:spacing w:before="0" w:after="0" w:line="360" w:lineRule="auto"/>
        <w:rPr>
          <w:rFonts w:ascii="宋体" w:hAnsi="宋体"/>
          <w:sz w:val="24"/>
          <w:szCs w:val="24"/>
        </w:rPr>
      </w:pPr>
      <w:bookmarkStart w:id="4" w:name="_Toc33029704"/>
      <w:r>
        <w:rPr>
          <w:rFonts w:hint="eastAsia" w:ascii="宋体" w:hAnsi="宋体"/>
          <w:sz w:val="24"/>
          <w:szCs w:val="24"/>
        </w:rPr>
        <w:t>（三）关键控制环节</w:t>
      </w:r>
      <w:bookmarkEnd w:id="4"/>
    </w:p>
    <w:p>
      <w:pPr>
        <w:pStyle w:val="10"/>
        <w:spacing w:after="0" w:line="360" w:lineRule="auto"/>
        <w:ind w:firstLine="480" w:firstLineChars="200"/>
        <w:rPr>
          <w:rFonts w:ascii="宋体" w:hAnsi="宋体"/>
          <w:sz w:val="24"/>
        </w:rPr>
      </w:pPr>
      <w:r>
        <w:rPr>
          <w:rFonts w:hint="eastAsia" w:ascii="宋体" w:hAnsi="宋体"/>
          <w:sz w:val="24"/>
        </w:rPr>
        <w:t>原料的验收和处理、生产工艺、产品仓储。</w:t>
      </w:r>
    </w:p>
    <w:p>
      <w:pPr>
        <w:pStyle w:val="3"/>
        <w:spacing w:before="0" w:after="0" w:line="360" w:lineRule="auto"/>
        <w:rPr>
          <w:rFonts w:ascii="宋体" w:hAnsi="宋体" w:eastAsia="宋体"/>
          <w:sz w:val="24"/>
          <w:szCs w:val="24"/>
        </w:rPr>
      </w:pPr>
      <w:bookmarkStart w:id="5" w:name="_Toc33029705"/>
      <w:r>
        <w:rPr>
          <w:rFonts w:hint="eastAsia" w:ascii="宋体" w:hAnsi="宋体" w:eastAsia="宋体"/>
          <w:sz w:val="24"/>
          <w:szCs w:val="24"/>
        </w:rPr>
        <w:t>三、必备的生产资源</w:t>
      </w:r>
      <w:bookmarkEnd w:id="5"/>
    </w:p>
    <w:p>
      <w:pPr>
        <w:pStyle w:val="4"/>
        <w:spacing w:before="0" w:after="0" w:line="360" w:lineRule="auto"/>
        <w:rPr>
          <w:rFonts w:ascii="宋体" w:hAnsi="宋体"/>
          <w:sz w:val="24"/>
          <w:szCs w:val="24"/>
        </w:rPr>
      </w:pPr>
      <w:bookmarkStart w:id="6" w:name="_Toc33029706"/>
      <w:r>
        <w:rPr>
          <w:rFonts w:hint="eastAsia" w:ascii="宋体" w:hAnsi="宋体"/>
          <w:sz w:val="24"/>
          <w:szCs w:val="24"/>
        </w:rPr>
        <w:t>（一）生产场所</w:t>
      </w:r>
      <w:bookmarkEnd w:id="6"/>
    </w:p>
    <w:p>
      <w:pPr>
        <w:pStyle w:val="10"/>
        <w:spacing w:after="0" w:line="360" w:lineRule="auto"/>
        <w:ind w:firstLine="480" w:firstLineChars="200"/>
        <w:rPr>
          <w:rFonts w:ascii="宋体" w:hAnsi="宋体"/>
          <w:sz w:val="24"/>
        </w:rPr>
      </w:pPr>
      <w:r>
        <w:rPr>
          <w:rFonts w:hint="eastAsia" w:ascii="宋体" w:hAnsi="宋体"/>
          <w:sz w:val="24"/>
        </w:rPr>
        <w:t>1. 生产场所应离开垃圾场、畜牧场、医院、粪池50米以上，离开经常喷施农药的农田100米以上，远离排放“三废”的工业企业。</w:t>
      </w:r>
    </w:p>
    <w:p>
      <w:pPr>
        <w:pStyle w:val="10"/>
        <w:spacing w:after="0" w:line="360" w:lineRule="auto"/>
        <w:ind w:firstLine="480" w:firstLineChars="200"/>
        <w:rPr>
          <w:rFonts w:ascii="宋体" w:hAnsi="宋体"/>
          <w:sz w:val="24"/>
        </w:rPr>
      </w:pPr>
      <w:r>
        <w:rPr>
          <w:rFonts w:hint="eastAsia" w:ascii="宋体" w:hAnsi="宋体"/>
          <w:sz w:val="24"/>
        </w:rPr>
        <w:t>2. 厂房面积应不少于设备占地面积的8倍。地面应硬实、平整、光洁（至少应为水泥地面），墙面无污垢。加工和包装场地至少在每年茶季前清洗1次。</w:t>
      </w:r>
    </w:p>
    <w:p>
      <w:pPr>
        <w:pStyle w:val="10"/>
        <w:spacing w:after="0" w:line="360" w:lineRule="auto"/>
        <w:ind w:firstLine="480" w:firstLineChars="200"/>
        <w:rPr>
          <w:rFonts w:ascii="宋体" w:hAnsi="宋体"/>
          <w:sz w:val="24"/>
        </w:rPr>
      </w:pPr>
      <w:r>
        <w:rPr>
          <w:rFonts w:hint="eastAsia" w:ascii="宋体" w:hAnsi="宋体"/>
          <w:sz w:val="24"/>
        </w:rPr>
        <w:t>3. 应有足够的原料、辅料、半成品和成品仓库或场地。原料、辅料、半成品和成品应分开放置，不得混放。茶叶仓库应清洁、干燥、无异气味，不得堆放其他物品。</w:t>
      </w:r>
    </w:p>
    <w:p>
      <w:pPr>
        <w:pStyle w:val="4"/>
        <w:spacing w:before="0" w:after="0" w:line="360" w:lineRule="auto"/>
        <w:rPr>
          <w:rFonts w:ascii="宋体" w:hAnsi="宋体"/>
          <w:sz w:val="24"/>
          <w:szCs w:val="24"/>
        </w:rPr>
      </w:pPr>
      <w:bookmarkStart w:id="7" w:name="_Toc33029707"/>
      <w:r>
        <w:rPr>
          <w:rFonts w:hint="eastAsia" w:ascii="宋体" w:hAnsi="宋体"/>
          <w:sz w:val="24"/>
          <w:szCs w:val="24"/>
        </w:rPr>
        <w:t>（二）必备的生产设备</w:t>
      </w:r>
      <w:bookmarkEnd w:id="7"/>
    </w:p>
    <w:p>
      <w:pPr>
        <w:pStyle w:val="10"/>
        <w:spacing w:after="0" w:line="360" w:lineRule="auto"/>
        <w:ind w:firstLine="480" w:firstLineChars="200"/>
        <w:rPr>
          <w:rFonts w:ascii="宋体" w:hAnsi="宋体"/>
          <w:sz w:val="24"/>
        </w:rPr>
      </w:pPr>
      <w:r>
        <w:rPr>
          <w:rFonts w:hint="eastAsia" w:ascii="宋体" w:hAnsi="宋体"/>
          <w:sz w:val="24"/>
        </w:rPr>
        <w:t>1. 绿茶生产必须具备杀青、揉捻、干燥设备（手工、半手工名优茶视生产工艺而定）。</w:t>
      </w:r>
    </w:p>
    <w:p>
      <w:pPr>
        <w:pStyle w:val="10"/>
        <w:spacing w:after="0" w:line="360" w:lineRule="auto"/>
        <w:ind w:firstLine="480" w:firstLineChars="200"/>
        <w:rPr>
          <w:rFonts w:ascii="宋体" w:hAnsi="宋体"/>
          <w:sz w:val="24"/>
        </w:rPr>
      </w:pPr>
      <w:r>
        <w:rPr>
          <w:rFonts w:hint="eastAsia" w:ascii="宋体" w:hAnsi="宋体"/>
          <w:sz w:val="24"/>
        </w:rPr>
        <w:t>2. 红茶生产必须具备揉切（红碎茶）、揉捻（工夫红茶和小种红茶）、拣梗和干燥设备。</w:t>
      </w:r>
    </w:p>
    <w:p>
      <w:pPr>
        <w:pStyle w:val="10"/>
        <w:spacing w:after="0" w:line="360" w:lineRule="auto"/>
        <w:ind w:firstLine="480" w:firstLineChars="200"/>
        <w:rPr>
          <w:rFonts w:ascii="宋体" w:hAnsi="宋体"/>
          <w:sz w:val="24"/>
        </w:rPr>
      </w:pPr>
      <w:r>
        <w:rPr>
          <w:rFonts w:hint="eastAsia" w:ascii="宋体" w:hAnsi="宋体"/>
          <w:sz w:val="24"/>
        </w:rPr>
        <w:t>3. 乌龙茶生产必须具备做青（摇青）、杀青、揉捻（包揉）、干燥设备。</w:t>
      </w:r>
    </w:p>
    <w:p>
      <w:pPr>
        <w:pStyle w:val="10"/>
        <w:spacing w:after="0" w:line="360" w:lineRule="auto"/>
        <w:ind w:firstLine="480" w:firstLineChars="200"/>
        <w:rPr>
          <w:rFonts w:ascii="宋体" w:hAnsi="宋体"/>
          <w:sz w:val="24"/>
        </w:rPr>
      </w:pPr>
      <w:r>
        <w:rPr>
          <w:rFonts w:hint="eastAsia" w:ascii="宋体" w:hAnsi="宋体"/>
          <w:sz w:val="24"/>
        </w:rPr>
        <w:t>4. 黄茶生产必须具备杀青和干燥设备。</w:t>
      </w:r>
    </w:p>
    <w:p>
      <w:pPr>
        <w:pStyle w:val="10"/>
        <w:spacing w:after="0" w:line="360" w:lineRule="auto"/>
        <w:ind w:firstLine="480" w:firstLineChars="200"/>
        <w:rPr>
          <w:rFonts w:ascii="宋体" w:hAnsi="宋体"/>
          <w:sz w:val="24"/>
        </w:rPr>
      </w:pPr>
      <w:r>
        <w:rPr>
          <w:rFonts w:hint="eastAsia" w:ascii="宋体" w:hAnsi="宋体"/>
          <w:sz w:val="24"/>
        </w:rPr>
        <w:t>5. 白茶生产必须具备干燥设备。</w:t>
      </w:r>
    </w:p>
    <w:p>
      <w:pPr>
        <w:pStyle w:val="10"/>
        <w:spacing w:after="0" w:line="360" w:lineRule="auto"/>
        <w:ind w:firstLine="480" w:firstLineChars="200"/>
        <w:rPr>
          <w:rFonts w:ascii="宋体" w:hAnsi="宋体"/>
          <w:sz w:val="24"/>
        </w:rPr>
      </w:pPr>
      <w:r>
        <w:rPr>
          <w:rFonts w:hint="eastAsia" w:ascii="宋体" w:hAnsi="宋体"/>
          <w:sz w:val="24"/>
        </w:rPr>
        <w:t>6. 黑茶生产必须具备杀青、揉捻和干燥设备。</w:t>
      </w:r>
    </w:p>
    <w:p>
      <w:pPr>
        <w:pStyle w:val="10"/>
        <w:spacing w:after="0" w:line="360" w:lineRule="auto"/>
        <w:ind w:firstLine="480" w:firstLineChars="200"/>
        <w:rPr>
          <w:rFonts w:ascii="宋体" w:hAnsi="宋体"/>
          <w:sz w:val="24"/>
        </w:rPr>
      </w:pPr>
      <w:r>
        <w:rPr>
          <w:rFonts w:hint="eastAsia" w:ascii="宋体" w:hAnsi="宋体"/>
          <w:sz w:val="24"/>
        </w:rPr>
        <w:t>7. 花茶加工必须具备筛分和干燥设备。</w:t>
      </w:r>
    </w:p>
    <w:p>
      <w:pPr>
        <w:pStyle w:val="10"/>
        <w:spacing w:after="0" w:line="360" w:lineRule="auto"/>
        <w:ind w:firstLine="480" w:firstLineChars="200"/>
        <w:rPr>
          <w:rFonts w:ascii="宋体" w:hAnsi="宋体"/>
          <w:sz w:val="24"/>
        </w:rPr>
      </w:pPr>
      <w:r>
        <w:rPr>
          <w:rFonts w:hint="eastAsia" w:ascii="宋体" w:hAnsi="宋体"/>
          <w:sz w:val="24"/>
        </w:rPr>
        <w:t>8. 袋泡茶加工必须具备自动包装设备。</w:t>
      </w:r>
    </w:p>
    <w:p>
      <w:pPr>
        <w:pStyle w:val="10"/>
        <w:spacing w:after="0" w:line="360" w:lineRule="auto"/>
        <w:ind w:firstLine="480" w:firstLineChars="200"/>
        <w:rPr>
          <w:rFonts w:ascii="宋体" w:hAnsi="宋体"/>
          <w:sz w:val="24"/>
        </w:rPr>
      </w:pPr>
      <w:r>
        <w:rPr>
          <w:rFonts w:hint="eastAsia" w:ascii="宋体" w:hAnsi="宋体"/>
          <w:sz w:val="24"/>
        </w:rPr>
        <w:t>9. 紧压茶加工必须具备筛分、锅炉、压制、干燥设备。</w:t>
      </w:r>
    </w:p>
    <w:p>
      <w:pPr>
        <w:pStyle w:val="10"/>
        <w:spacing w:after="0" w:line="360" w:lineRule="auto"/>
        <w:ind w:firstLine="480" w:firstLineChars="200"/>
        <w:rPr>
          <w:rFonts w:ascii="宋体" w:hAnsi="宋体"/>
          <w:sz w:val="24"/>
        </w:rPr>
      </w:pPr>
      <w:r>
        <w:rPr>
          <w:rFonts w:hint="eastAsia" w:ascii="宋体" w:hAnsi="宋体"/>
          <w:sz w:val="24"/>
        </w:rPr>
        <w:t>10. 精制加工（毛茶加工至成品茶或花茶坯）必须具备筛分、风选、拣梗、干燥设备。</w:t>
      </w:r>
    </w:p>
    <w:p>
      <w:pPr>
        <w:pStyle w:val="10"/>
        <w:spacing w:after="0" w:line="360" w:lineRule="auto"/>
        <w:ind w:firstLine="480" w:firstLineChars="200"/>
        <w:rPr>
          <w:rFonts w:ascii="宋体" w:hAnsi="宋体"/>
          <w:sz w:val="24"/>
        </w:rPr>
      </w:pPr>
      <w:r>
        <w:rPr>
          <w:rFonts w:hint="eastAsia" w:ascii="宋体" w:hAnsi="宋体"/>
          <w:sz w:val="24"/>
        </w:rPr>
        <w:t>11. 分装企业必须具备称量、干燥、包装设备。</w:t>
      </w:r>
    </w:p>
    <w:p>
      <w:pPr>
        <w:pStyle w:val="3"/>
        <w:spacing w:before="0" w:after="0" w:line="360" w:lineRule="auto"/>
        <w:rPr>
          <w:rFonts w:ascii="宋体" w:hAnsi="宋体" w:eastAsia="宋体"/>
          <w:sz w:val="24"/>
          <w:szCs w:val="24"/>
        </w:rPr>
      </w:pPr>
      <w:bookmarkStart w:id="8" w:name="_Toc33029708"/>
      <w:r>
        <w:rPr>
          <w:rFonts w:hint="eastAsia" w:ascii="宋体" w:hAnsi="宋体" w:eastAsia="宋体"/>
          <w:sz w:val="24"/>
          <w:szCs w:val="24"/>
        </w:rPr>
        <w:t>四、产品相关标准</w:t>
      </w:r>
      <w:bookmarkEnd w:id="8"/>
    </w:p>
    <w:p>
      <w:pPr>
        <w:pStyle w:val="10"/>
        <w:spacing w:after="0" w:line="360" w:lineRule="auto"/>
        <w:ind w:firstLine="480" w:firstLineChars="200"/>
        <w:rPr>
          <w:rFonts w:ascii="宋体" w:hAnsi="宋体"/>
          <w:sz w:val="24"/>
        </w:rPr>
      </w:pPr>
      <w:r>
        <w:rPr>
          <w:rFonts w:hint="eastAsia" w:ascii="宋体" w:hAnsi="宋体"/>
          <w:sz w:val="24"/>
        </w:rPr>
        <w:t>GB 2762《食品中污染物限量》；GB 2763《食品中农药最大残留限量》；GB/T 9833.1《紧压茶 花砖茶》，GB/T 9833.2《紧压茶 黑砖茶》，GB/T 9833.3《紧压茶 茯砖茶》，GB/T 9833.4《紧压茶 康砖茶》，GB/T 9833.5《紧压茶 沱茶》，GB/T 9833.6《紧压茶 紧茶》，GB/T 9833.7《紧压茶 金尖茶》，GB/T 9833.8《紧压茶 米砖茶》，GB/T 9833.9《紧压茶 青砖茶》，GB/T13738.1《第一套红碎茶》；GB/T13738.2《第二套红碎茶》；GB/T13738.4《第四套红碎茶》；GB/T14456《绿茶》；GB18650《原产地域产品 龙井茶》；GB18665《蒙山茶》；GB18745《武夷岩茶》；GB18957《原产地域产品 洞庭（山）碧螺春茶》；GB19460《原产地域产品 黄山毛峰茶》；GB 19598《原产地域产品 安溪铁观音》；GB 19691《原产地域产品 狗牯脑茶》；GB 19698《原产地域产品 太平猴魁茶》；GB 19965《砖茶氟含量》；SB/T10167《祁门工夫红茶》；相关地方标准；备案有效的企业标准。</w:t>
      </w:r>
    </w:p>
    <w:p>
      <w:pPr>
        <w:pStyle w:val="3"/>
        <w:spacing w:before="0" w:after="0" w:line="360" w:lineRule="auto"/>
        <w:rPr>
          <w:rFonts w:ascii="宋体" w:hAnsi="宋体" w:eastAsia="宋体"/>
          <w:sz w:val="24"/>
          <w:szCs w:val="24"/>
        </w:rPr>
      </w:pPr>
      <w:bookmarkStart w:id="9" w:name="_Toc33029709"/>
      <w:r>
        <w:rPr>
          <w:rFonts w:hint="eastAsia" w:ascii="宋体" w:hAnsi="宋体" w:eastAsia="宋体"/>
          <w:sz w:val="24"/>
          <w:szCs w:val="24"/>
        </w:rPr>
        <w:t>五、原辅材料的有关要求</w:t>
      </w:r>
      <w:bookmarkEnd w:id="9"/>
    </w:p>
    <w:p>
      <w:pPr>
        <w:pStyle w:val="10"/>
        <w:spacing w:after="0" w:line="360" w:lineRule="auto"/>
        <w:ind w:firstLine="480" w:firstLineChars="200"/>
        <w:rPr>
          <w:rFonts w:ascii="宋体" w:hAnsi="宋体"/>
          <w:sz w:val="24"/>
        </w:rPr>
      </w:pPr>
      <w:r>
        <w:rPr>
          <w:rFonts w:hint="eastAsia" w:ascii="宋体" w:hAnsi="宋体"/>
          <w:sz w:val="24"/>
        </w:rPr>
        <w:t>（一）鲜叶、鲜花等原料应无劣变、无异味，无其他植物叶、花和杂物。</w:t>
      </w:r>
    </w:p>
    <w:p>
      <w:pPr>
        <w:pStyle w:val="10"/>
        <w:spacing w:after="0" w:line="360" w:lineRule="auto"/>
        <w:ind w:firstLine="480" w:firstLineChars="200"/>
        <w:rPr>
          <w:rFonts w:ascii="宋体" w:hAnsi="宋体"/>
          <w:sz w:val="24"/>
        </w:rPr>
      </w:pPr>
      <w:r>
        <w:rPr>
          <w:rFonts w:hint="eastAsia" w:ascii="宋体" w:hAnsi="宋体"/>
          <w:sz w:val="24"/>
        </w:rPr>
        <w:t>（二）毛茶和茶坯必须符合该种茶叶产品正常品质特征，无异味、无异嗅、无霉变；不着色，无任何添加剂，无其他夹杂物；符合相关茶叶标准要求。</w:t>
      </w:r>
    </w:p>
    <w:p>
      <w:pPr>
        <w:pStyle w:val="10"/>
        <w:spacing w:after="0" w:line="360" w:lineRule="auto"/>
        <w:ind w:firstLine="480" w:firstLineChars="200"/>
        <w:rPr>
          <w:rFonts w:ascii="宋体" w:hAnsi="宋体"/>
          <w:sz w:val="24"/>
        </w:rPr>
      </w:pPr>
      <w:r>
        <w:rPr>
          <w:rFonts w:hint="eastAsia" w:ascii="宋体" w:hAnsi="宋体"/>
          <w:sz w:val="24"/>
        </w:rPr>
        <w:t>（三）茶叶包装材料和容器应干燥、清洁、无毒、无害、无异味，不影响茶叶品质。符合SB/T10035《茶叶销售包装通用技术条件》的规定。</w:t>
      </w:r>
    </w:p>
    <w:p>
      <w:pPr>
        <w:pStyle w:val="3"/>
        <w:spacing w:before="0" w:after="0" w:line="360" w:lineRule="auto"/>
        <w:rPr>
          <w:rFonts w:ascii="宋体" w:hAnsi="宋体" w:eastAsia="宋体"/>
          <w:sz w:val="24"/>
          <w:szCs w:val="24"/>
        </w:rPr>
      </w:pPr>
      <w:bookmarkStart w:id="10" w:name="_Toc33029710"/>
      <w:r>
        <w:rPr>
          <w:rFonts w:hint="eastAsia" w:ascii="宋体" w:hAnsi="宋体" w:eastAsia="宋体"/>
          <w:sz w:val="24"/>
          <w:szCs w:val="24"/>
        </w:rPr>
        <w:t>六、必备的出厂检验设备</w:t>
      </w:r>
      <w:bookmarkEnd w:id="10"/>
    </w:p>
    <w:p>
      <w:pPr>
        <w:pStyle w:val="10"/>
        <w:spacing w:after="0" w:line="360" w:lineRule="auto"/>
        <w:ind w:firstLine="480" w:firstLineChars="200"/>
        <w:rPr>
          <w:rFonts w:ascii="宋体" w:hAnsi="宋体"/>
          <w:sz w:val="24"/>
        </w:rPr>
      </w:pPr>
      <w:r>
        <w:rPr>
          <w:rFonts w:hint="eastAsia" w:ascii="宋体" w:hAnsi="宋体"/>
          <w:sz w:val="24"/>
        </w:rPr>
        <w:t>（一）感官品质检验：应有独立的审评场所，其基本设施和环境条件应符合GB/T18797-2002《茶叶感官审评室基本条件》相关规定。审评用具（干评台；湿评台；评茶盘；审评杯碗；汤匙；叶底盘；称茶器；计时器等），应符合SB/T10157-1993《茶叶感官审评方法》相关规定。</w:t>
      </w:r>
    </w:p>
    <w:p>
      <w:pPr>
        <w:pStyle w:val="10"/>
        <w:spacing w:after="0" w:line="360" w:lineRule="auto"/>
        <w:ind w:firstLine="480" w:firstLineChars="200"/>
        <w:rPr>
          <w:rFonts w:ascii="宋体" w:hAnsi="宋体"/>
          <w:sz w:val="24"/>
        </w:rPr>
      </w:pPr>
      <w:r>
        <w:rPr>
          <w:rFonts w:hint="eastAsia" w:ascii="宋体" w:hAnsi="宋体"/>
          <w:sz w:val="24"/>
        </w:rPr>
        <w:t>（二）水分检验：应有分析天平（1mg）、鼓风电热恒温干燥箱、干燥器等，或水分测定仪。</w:t>
      </w:r>
    </w:p>
    <w:p>
      <w:pPr>
        <w:pStyle w:val="10"/>
        <w:spacing w:after="0" w:line="360" w:lineRule="auto"/>
        <w:ind w:firstLine="480" w:firstLineChars="200"/>
        <w:rPr>
          <w:rFonts w:ascii="宋体" w:hAnsi="宋体"/>
          <w:sz w:val="24"/>
        </w:rPr>
      </w:pPr>
      <w:r>
        <w:rPr>
          <w:rFonts w:hint="eastAsia" w:ascii="宋体" w:hAnsi="宋体"/>
          <w:sz w:val="24"/>
        </w:rPr>
        <w:t>（三）净含量检验：电子秤或天平。</w:t>
      </w:r>
    </w:p>
    <w:p>
      <w:pPr>
        <w:pStyle w:val="10"/>
        <w:spacing w:after="0" w:line="360" w:lineRule="auto"/>
        <w:ind w:firstLine="480" w:firstLineChars="200"/>
        <w:rPr>
          <w:rFonts w:ascii="宋体" w:hAnsi="宋体"/>
          <w:sz w:val="24"/>
        </w:rPr>
      </w:pPr>
      <w:r>
        <w:rPr>
          <w:rFonts w:hint="eastAsia" w:ascii="宋体" w:hAnsi="宋体"/>
          <w:sz w:val="24"/>
        </w:rPr>
        <w:t>（四）粉末、碎茶：应有碎末茶测定装置（执行的产品标准无此项目的不要求）。</w:t>
      </w:r>
    </w:p>
    <w:p>
      <w:pPr>
        <w:pStyle w:val="10"/>
        <w:spacing w:after="0" w:line="360" w:lineRule="auto"/>
        <w:ind w:firstLine="480" w:firstLineChars="200"/>
        <w:rPr>
          <w:rFonts w:ascii="宋体" w:hAnsi="宋体"/>
          <w:sz w:val="24"/>
        </w:rPr>
      </w:pPr>
      <w:r>
        <w:rPr>
          <w:rFonts w:hint="eastAsia" w:ascii="宋体" w:hAnsi="宋体"/>
          <w:sz w:val="24"/>
        </w:rPr>
        <w:t>（五）茶梗、非茶类夹杂物：应有符合相应要求的电子秤或天平（执行的产品标准无此项目要求的不要求）。</w:t>
      </w:r>
    </w:p>
    <w:p>
      <w:pPr>
        <w:pStyle w:val="3"/>
        <w:spacing w:before="0" w:after="0" w:line="360" w:lineRule="auto"/>
        <w:rPr>
          <w:rFonts w:ascii="宋体" w:hAnsi="宋体" w:eastAsia="宋体"/>
          <w:sz w:val="24"/>
          <w:szCs w:val="24"/>
        </w:rPr>
      </w:pPr>
      <w:bookmarkStart w:id="11" w:name="_Toc33029711"/>
      <w:r>
        <w:rPr>
          <w:rFonts w:hint="eastAsia" w:ascii="宋体" w:hAnsi="宋体" w:eastAsia="宋体"/>
          <w:sz w:val="24"/>
          <w:szCs w:val="24"/>
        </w:rPr>
        <w:t>七、检验项目</w:t>
      </w:r>
      <w:bookmarkEnd w:id="11"/>
    </w:p>
    <w:p>
      <w:pPr>
        <w:pStyle w:val="10"/>
        <w:spacing w:after="0" w:line="360" w:lineRule="auto"/>
        <w:ind w:firstLine="480" w:firstLineChars="200"/>
        <w:rPr>
          <w:rFonts w:ascii="宋体" w:hAnsi="宋体"/>
          <w:sz w:val="24"/>
        </w:rPr>
      </w:pPr>
      <w:r>
        <w:rPr>
          <w:rFonts w:hint="eastAsia" w:ascii="宋体" w:hAnsi="宋体"/>
          <w:sz w:val="24"/>
        </w:rPr>
        <w:t>茶叶的发证检验、监督检验和出厂检验按表中列出的检验项目进行。对各类各品种的主导产品带“*”号标记的出厂检验项目，企业每年至少检验2次。</w:t>
      </w:r>
    </w:p>
    <w:p>
      <w:pPr>
        <w:pStyle w:val="10"/>
        <w:spacing w:after="0" w:line="360" w:lineRule="auto"/>
        <w:ind w:firstLine="482" w:firstLineChars="200"/>
        <w:jc w:val="center"/>
        <w:rPr>
          <w:rFonts w:ascii="宋体" w:hAnsi="宋体"/>
          <w:b/>
          <w:sz w:val="24"/>
        </w:rPr>
      </w:pPr>
      <w:r>
        <w:rPr>
          <w:rFonts w:hint="eastAsia" w:ascii="宋体" w:hAnsi="宋体"/>
          <w:b/>
          <w:sz w:val="24"/>
        </w:rPr>
        <w:t>茶叶产品质量检验项目表</w:t>
      </w:r>
    </w:p>
    <w:tbl>
      <w:tblPr>
        <w:tblStyle w:val="11"/>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911"/>
        <w:gridCol w:w="531"/>
        <w:gridCol w:w="531"/>
        <w:gridCol w:w="531"/>
        <w:gridCol w:w="4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41" w:type="dxa"/>
            <w:tcBorders>
              <w:top w:val="single" w:color="auto" w:sz="8" w:space="0"/>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序号</w:t>
            </w:r>
          </w:p>
        </w:tc>
        <w:tc>
          <w:tcPr>
            <w:tcW w:w="1911" w:type="dxa"/>
            <w:tcBorders>
              <w:top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检验项目</w:t>
            </w:r>
          </w:p>
        </w:tc>
        <w:tc>
          <w:tcPr>
            <w:tcW w:w="531" w:type="dxa"/>
            <w:tcBorders>
              <w:top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发证</w:t>
            </w:r>
          </w:p>
        </w:tc>
        <w:tc>
          <w:tcPr>
            <w:tcW w:w="531" w:type="dxa"/>
            <w:tcBorders>
              <w:top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监督</w:t>
            </w:r>
          </w:p>
        </w:tc>
        <w:tc>
          <w:tcPr>
            <w:tcW w:w="531" w:type="dxa"/>
            <w:tcBorders>
              <w:top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出厂</w:t>
            </w:r>
          </w:p>
        </w:tc>
        <w:tc>
          <w:tcPr>
            <w:tcW w:w="4779" w:type="dxa"/>
            <w:tcBorders>
              <w:top w:val="single" w:color="auto" w:sz="8" w:space="0"/>
              <w:righ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1</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标签</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p>
        </w:tc>
        <w:tc>
          <w:tcPr>
            <w:tcW w:w="4779" w:type="dxa"/>
            <w:tcBorders>
              <w:right w:val="single" w:color="auto" w:sz="8" w:space="0"/>
            </w:tcBorders>
            <w:vAlign w:val="center"/>
          </w:tcPr>
          <w:p>
            <w:pPr>
              <w:adjustRightInd w:val="0"/>
              <w:snapToGrid w:val="0"/>
              <w:spacing w:line="360" w:lineRule="auto"/>
              <w:rPr>
                <w:rFonts w:ascii="宋体" w:hAnsi="宋体"/>
                <w:bCs/>
                <w:sz w:val="24"/>
              </w:rPr>
            </w:pPr>
            <w:r>
              <w:rPr>
                <w:rFonts w:hint="eastAsia" w:ascii="宋体" w:hAnsi="宋体"/>
                <w:bCs/>
                <w:sz w:val="24"/>
              </w:rPr>
              <w:t>预包装产品按GB7718的规定进行检验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2</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净含量</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3</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感官品质</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4</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水分</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5</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总灰分</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6</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水溶性灰分</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r>
              <w:rPr>
                <w:rFonts w:hint="eastAsia" w:ascii="宋体" w:hAnsi="宋体"/>
                <w:bCs/>
                <w:sz w:val="24"/>
              </w:rPr>
              <w:t>执行标准无此项要求或为参考指标的不检验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7</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酸不溶性灰分</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r>
              <w:rPr>
                <w:rFonts w:hint="eastAsia" w:ascii="宋体" w:hAnsi="宋体"/>
                <w:bCs/>
                <w:sz w:val="24"/>
              </w:rPr>
              <w:t>执行标准无此项要求或为参考指标的不检验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8</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水溶性灰分碱度（以KOH计）</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r>
              <w:rPr>
                <w:rFonts w:hint="eastAsia" w:ascii="宋体" w:hAnsi="宋体"/>
                <w:bCs/>
                <w:sz w:val="24"/>
              </w:rPr>
              <w:t>执行标准无此项要求或为参考指标的不检验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9</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水浸出物</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r>
              <w:rPr>
                <w:rFonts w:hint="eastAsia" w:ascii="宋体" w:hAnsi="宋体"/>
                <w:bCs/>
                <w:sz w:val="24"/>
              </w:rPr>
              <w:t>执行标准无此项要求或为参考指标的不检验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10</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粗纤维</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r>
              <w:rPr>
                <w:rFonts w:hint="eastAsia" w:ascii="宋体" w:hAnsi="宋体"/>
                <w:bCs/>
                <w:sz w:val="24"/>
              </w:rPr>
              <w:t>执行标准无此项要求或为参考指标的不检验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11</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粉末、碎茶</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r>
              <w:rPr>
                <w:rFonts w:hint="eastAsia" w:ascii="宋体" w:hAnsi="宋体"/>
                <w:bCs/>
                <w:sz w:val="24"/>
              </w:rPr>
              <w:t>执行标准无此项要求的不检验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12</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茶梗</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r>
              <w:rPr>
                <w:rFonts w:hint="eastAsia" w:ascii="宋体" w:hAnsi="宋体"/>
                <w:bCs/>
                <w:sz w:val="24"/>
              </w:rPr>
              <w:t>执行标准无此项要求的不检验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13</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非茶类夹杂物</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r>
              <w:rPr>
                <w:rFonts w:hint="eastAsia" w:ascii="宋体" w:hAnsi="宋体"/>
                <w:bCs/>
                <w:sz w:val="24"/>
              </w:rPr>
              <w:t>执行标准无此项要求的不检验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14</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铅</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15</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稀土总量</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16</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六六六总量</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17</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滴滴涕总量</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741" w:type="dxa"/>
            <w:tcBorders>
              <w:left w:val="single" w:color="auto" w:sz="8" w:space="0"/>
              <w:bottom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18</w:t>
            </w:r>
          </w:p>
        </w:tc>
        <w:tc>
          <w:tcPr>
            <w:tcW w:w="1911" w:type="dxa"/>
            <w:tcBorders>
              <w:bottom w:val="single" w:color="auto" w:sz="8" w:space="0"/>
            </w:tcBorders>
            <w:vAlign w:val="center"/>
          </w:tcPr>
          <w:p>
            <w:pPr>
              <w:adjustRightInd w:val="0"/>
              <w:snapToGrid w:val="0"/>
              <w:spacing w:line="360" w:lineRule="auto"/>
              <w:rPr>
                <w:rFonts w:ascii="宋体" w:hAnsi="宋体"/>
                <w:bCs/>
                <w:sz w:val="24"/>
              </w:rPr>
            </w:pPr>
            <w:r>
              <w:rPr>
                <w:rFonts w:hint="eastAsia" w:ascii="宋体" w:hAnsi="宋体"/>
                <w:sz w:val="24"/>
              </w:rPr>
              <w:t>滴滴涕总量</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41" w:type="dxa"/>
            <w:tcBorders>
              <w:left w:val="single" w:color="auto" w:sz="8" w:space="0"/>
              <w:bottom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19</w:t>
            </w:r>
          </w:p>
        </w:tc>
        <w:tc>
          <w:tcPr>
            <w:tcW w:w="1911" w:type="dxa"/>
            <w:tcBorders>
              <w:bottom w:val="single" w:color="auto" w:sz="8" w:space="0"/>
            </w:tcBorders>
            <w:vAlign w:val="center"/>
          </w:tcPr>
          <w:p>
            <w:pPr>
              <w:adjustRightInd w:val="0"/>
              <w:snapToGrid w:val="0"/>
              <w:spacing w:line="360" w:lineRule="auto"/>
              <w:rPr>
                <w:rFonts w:ascii="宋体" w:hAnsi="宋体"/>
                <w:bCs/>
                <w:sz w:val="24"/>
              </w:rPr>
            </w:pPr>
            <w:r>
              <w:rPr>
                <w:rFonts w:hint="eastAsia" w:ascii="宋体" w:hAnsi="宋体"/>
                <w:spacing w:val="-20"/>
                <w:sz w:val="24"/>
              </w:rPr>
              <w:t>顺式氰戊菊酯</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41" w:type="dxa"/>
            <w:tcBorders>
              <w:left w:val="single" w:color="auto" w:sz="8" w:space="0"/>
              <w:bottom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20</w:t>
            </w:r>
          </w:p>
        </w:tc>
        <w:tc>
          <w:tcPr>
            <w:tcW w:w="1911" w:type="dxa"/>
            <w:tcBorders>
              <w:bottom w:val="single" w:color="auto" w:sz="8" w:space="0"/>
            </w:tcBorders>
            <w:vAlign w:val="center"/>
          </w:tcPr>
          <w:p>
            <w:pPr>
              <w:adjustRightInd w:val="0"/>
              <w:snapToGrid w:val="0"/>
              <w:spacing w:line="360" w:lineRule="auto"/>
              <w:rPr>
                <w:rFonts w:ascii="宋体" w:hAnsi="宋体"/>
                <w:bCs/>
                <w:sz w:val="24"/>
              </w:rPr>
            </w:pPr>
            <w:r>
              <w:rPr>
                <w:rFonts w:hint="eastAsia" w:ascii="宋体" w:hAnsi="宋体"/>
                <w:sz w:val="24"/>
              </w:rPr>
              <w:t>氟氰戊菊酯</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41" w:type="dxa"/>
            <w:tcBorders>
              <w:left w:val="single" w:color="auto" w:sz="8" w:space="0"/>
              <w:bottom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21</w:t>
            </w:r>
          </w:p>
        </w:tc>
        <w:tc>
          <w:tcPr>
            <w:tcW w:w="1911" w:type="dxa"/>
            <w:tcBorders>
              <w:bottom w:val="single" w:color="auto" w:sz="8" w:space="0"/>
            </w:tcBorders>
            <w:vAlign w:val="center"/>
          </w:tcPr>
          <w:p>
            <w:pPr>
              <w:adjustRightInd w:val="0"/>
              <w:snapToGrid w:val="0"/>
              <w:spacing w:line="360" w:lineRule="auto"/>
              <w:rPr>
                <w:rFonts w:ascii="宋体" w:hAnsi="宋体"/>
                <w:bCs/>
                <w:sz w:val="24"/>
              </w:rPr>
            </w:pPr>
            <w:r>
              <w:rPr>
                <w:rFonts w:hint="eastAsia" w:ascii="宋体" w:hAnsi="宋体"/>
                <w:sz w:val="24"/>
              </w:rPr>
              <w:t>氯氰菊酯</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741" w:type="dxa"/>
            <w:tcBorders>
              <w:left w:val="single" w:color="auto" w:sz="8" w:space="0"/>
              <w:bottom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22</w:t>
            </w:r>
          </w:p>
        </w:tc>
        <w:tc>
          <w:tcPr>
            <w:tcW w:w="1911" w:type="dxa"/>
            <w:tcBorders>
              <w:bottom w:val="single" w:color="auto" w:sz="8" w:space="0"/>
            </w:tcBorders>
            <w:vAlign w:val="center"/>
          </w:tcPr>
          <w:p>
            <w:pPr>
              <w:adjustRightInd w:val="0"/>
              <w:snapToGrid w:val="0"/>
              <w:spacing w:line="360" w:lineRule="auto"/>
              <w:rPr>
                <w:rFonts w:ascii="宋体" w:hAnsi="宋体"/>
                <w:bCs/>
                <w:sz w:val="24"/>
              </w:rPr>
            </w:pPr>
            <w:r>
              <w:rPr>
                <w:rFonts w:hint="eastAsia" w:ascii="宋体" w:hAnsi="宋体"/>
                <w:sz w:val="24"/>
              </w:rPr>
              <w:t>溴氰菊酯</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41" w:type="dxa"/>
            <w:tcBorders>
              <w:left w:val="single" w:color="auto" w:sz="8" w:space="0"/>
              <w:bottom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23</w:t>
            </w:r>
          </w:p>
        </w:tc>
        <w:tc>
          <w:tcPr>
            <w:tcW w:w="1911" w:type="dxa"/>
            <w:tcBorders>
              <w:bottom w:val="single" w:color="auto" w:sz="8" w:space="0"/>
            </w:tcBorders>
            <w:vAlign w:val="center"/>
          </w:tcPr>
          <w:p>
            <w:pPr>
              <w:adjustRightInd w:val="0"/>
              <w:snapToGrid w:val="0"/>
              <w:spacing w:line="360" w:lineRule="auto"/>
              <w:rPr>
                <w:rFonts w:ascii="宋体" w:hAnsi="宋体"/>
                <w:bCs/>
                <w:sz w:val="24"/>
              </w:rPr>
            </w:pPr>
            <w:r>
              <w:rPr>
                <w:rFonts w:hint="eastAsia" w:ascii="宋体" w:hAnsi="宋体"/>
                <w:sz w:val="24"/>
              </w:rPr>
              <w:t>氯菊酯</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41" w:type="dxa"/>
            <w:tcBorders>
              <w:left w:val="single" w:color="auto" w:sz="8" w:space="0"/>
              <w:bottom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24</w:t>
            </w:r>
          </w:p>
        </w:tc>
        <w:tc>
          <w:tcPr>
            <w:tcW w:w="1911" w:type="dxa"/>
            <w:tcBorders>
              <w:bottom w:val="single" w:color="auto" w:sz="8" w:space="0"/>
            </w:tcBorders>
            <w:vAlign w:val="center"/>
          </w:tcPr>
          <w:p>
            <w:pPr>
              <w:adjustRightInd w:val="0"/>
              <w:snapToGrid w:val="0"/>
              <w:spacing w:line="360" w:lineRule="auto"/>
              <w:rPr>
                <w:rFonts w:ascii="宋体" w:hAnsi="宋体"/>
                <w:bCs/>
                <w:sz w:val="24"/>
              </w:rPr>
            </w:pPr>
            <w:r>
              <w:rPr>
                <w:rFonts w:hint="eastAsia" w:ascii="宋体" w:hAnsi="宋体"/>
                <w:sz w:val="24"/>
              </w:rPr>
              <w:t>乙酰甲胺磷</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41" w:type="dxa"/>
            <w:tcBorders>
              <w:left w:val="single" w:color="auto" w:sz="8" w:space="0"/>
              <w:bottom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25</w:t>
            </w:r>
          </w:p>
        </w:tc>
        <w:tc>
          <w:tcPr>
            <w:tcW w:w="1911" w:type="dxa"/>
            <w:tcBorders>
              <w:bottom w:val="single" w:color="auto" w:sz="8" w:space="0"/>
            </w:tcBorders>
            <w:vAlign w:val="center"/>
          </w:tcPr>
          <w:p>
            <w:pPr>
              <w:adjustRightInd w:val="0"/>
              <w:snapToGrid w:val="0"/>
              <w:spacing w:line="360" w:lineRule="auto"/>
              <w:rPr>
                <w:rFonts w:ascii="宋体" w:hAnsi="宋体"/>
                <w:bCs/>
                <w:sz w:val="24"/>
              </w:rPr>
            </w:pPr>
            <w:r>
              <w:rPr>
                <w:rFonts w:hint="eastAsia" w:ascii="宋体" w:hAnsi="宋体"/>
                <w:bCs/>
                <w:sz w:val="24"/>
              </w:rPr>
              <w:t>氟</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r>
              <w:rPr>
                <w:rFonts w:hint="eastAsia" w:ascii="宋体" w:hAnsi="宋体"/>
                <w:bCs/>
                <w:sz w:val="24"/>
              </w:rPr>
              <w:t>执行标准无此项要求的不检验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1" w:type="dxa"/>
            <w:tcBorders>
              <w:left w:val="single" w:color="auto" w:sz="8" w:space="0"/>
            </w:tcBorders>
            <w:vAlign w:val="center"/>
          </w:tcPr>
          <w:p>
            <w:pPr>
              <w:adjustRightInd w:val="0"/>
              <w:snapToGrid w:val="0"/>
              <w:spacing w:line="360" w:lineRule="auto"/>
              <w:jc w:val="center"/>
              <w:rPr>
                <w:rFonts w:ascii="宋体" w:hAnsi="宋体"/>
                <w:bCs/>
                <w:sz w:val="24"/>
              </w:rPr>
            </w:pPr>
            <w:r>
              <w:rPr>
                <w:rFonts w:hint="eastAsia" w:ascii="宋体" w:hAnsi="宋体"/>
                <w:bCs/>
                <w:sz w:val="24"/>
              </w:rPr>
              <w:t>26</w:t>
            </w:r>
          </w:p>
        </w:tc>
        <w:tc>
          <w:tcPr>
            <w:tcW w:w="1911" w:type="dxa"/>
            <w:vAlign w:val="center"/>
          </w:tcPr>
          <w:p>
            <w:pPr>
              <w:adjustRightInd w:val="0"/>
              <w:snapToGrid w:val="0"/>
              <w:spacing w:line="360" w:lineRule="auto"/>
              <w:rPr>
                <w:rFonts w:ascii="宋体" w:hAnsi="宋体"/>
                <w:bCs/>
                <w:sz w:val="24"/>
              </w:rPr>
            </w:pPr>
            <w:r>
              <w:rPr>
                <w:rFonts w:hint="eastAsia" w:ascii="宋体" w:hAnsi="宋体"/>
                <w:bCs/>
                <w:sz w:val="24"/>
              </w:rPr>
              <w:t>执行标准规定的其他项目</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531" w:type="dxa"/>
            <w:vAlign w:val="center"/>
          </w:tcPr>
          <w:p>
            <w:pPr>
              <w:adjustRightInd w:val="0"/>
              <w:snapToGrid w:val="0"/>
              <w:spacing w:line="360" w:lineRule="auto"/>
              <w:jc w:val="center"/>
              <w:rPr>
                <w:rFonts w:ascii="宋体" w:hAnsi="宋体"/>
                <w:bCs/>
                <w:sz w:val="24"/>
              </w:rPr>
            </w:pPr>
            <w:r>
              <w:rPr>
                <w:rFonts w:hint="eastAsia" w:ascii="宋体" w:hAnsi="宋体"/>
                <w:bCs/>
                <w:sz w:val="24"/>
              </w:rPr>
              <w:t>*</w:t>
            </w:r>
          </w:p>
        </w:tc>
        <w:tc>
          <w:tcPr>
            <w:tcW w:w="4779" w:type="dxa"/>
            <w:tcBorders>
              <w:right w:val="single" w:color="auto" w:sz="8" w:space="0"/>
            </w:tcBorders>
            <w:vAlign w:val="center"/>
          </w:tcPr>
          <w:p>
            <w:pPr>
              <w:adjustRightInd w:val="0"/>
              <w:snapToGrid w:val="0"/>
              <w:spacing w:line="360" w:lineRule="auto"/>
              <w:rPr>
                <w:rFonts w:ascii="宋体" w:hAnsi="宋体"/>
                <w:bCs/>
                <w:sz w:val="24"/>
              </w:rPr>
            </w:pPr>
          </w:p>
        </w:tc>
      </w:tr>
    </w:tbl>
    <w:p>
      <w:pPr>
        <w:adjustRightInd w:val="0"/>
        <w:snapToGrid w:val="0"/>
        <w:spacing w:line="360" w:lineRule="auto"/>
        <w:rPr>
          <w:rFonts w:ascii="宋体" w:hAnsi="宋体"/>
          <w:bCs/>
          <w:sz w:val="24"/>
        </w:rPr>
      </w:pPr>
    </w:p>
    <w:p>
      <w:pPr>
        <w:pStyle w:val="3"/>
        <w:spacing w:before="0" w:after="0" w:line="360" w:lineRule="auto"/>
        <w:rPr>
          <w:rFonts w:ascii="宋体" w:hAnsi="宋体" w:eastAsia="宋体"/>
          <w:sz w:val="24"/>
          <w:szCs w:val="24"/>
        </w:rPr>
      </w:pPr>
      <w:bookmarkStart w:id="12" w:name="_Toc33029712"/>
      <w:r>
        <w:rPr>
          <w:rFonts w:hint="eastAsia" w:ascii="宋体" w:hAnsi="宋体" w:eastAsia="宋体"/>
          <w:sz w:val="24"/>
          <w:szCs w:val="24"/>
        </w:rPr>
        <w:t>八、抽样方法</w:t>
      </w:r>
      <w:bookmarkEnd w:id="12"/>
    </w:p>
    <w:p>
      <w:pPr>
        <w:pStyle w:val="10"/>
        <w:spacing w:after="0" w:line="360" w:lineRule="auto"/>
        <w:ind w:firstLine="480" w:firstLineChars="200"/>
        <w:rPr>
          <w:rFonts w:ascii="宋体" w:hAnsi="宋体"/>
          <w:sz w:val="24"/>
        </w:rPr>
      </w:pPr>
      <w:r>
        <w:rPr>
          <w:rFonts w:hint="eastAsia" w:ascii="宋体" w:hAnsi="宋体"/>
          <w:sz w:val="24"/>
        </w:rPr>
        <w:t>按企业所申报的发证产品品种，每一品种均需随机抽取某一等级的产品进行检验。同一样品种，同一生产场地，使用不同注册商标的不重复抽取。</w:t>
      </w:r>
    </w:p>
    <w:p>
      <w:pPr>
        <w:pStyle w:val="10"/>
        <w:spacing w:after="0" w:line="360" w:lineRule="auto"/>
        <w:ind w:firstLine="480" w:firstLineChars="200"/>
        <w:rPr>
          <w:rFonts w:ascii="宋体" w:hAnsi="宋体"/>
          <w:sz w:val="24"/>
        </w:rPr>
      </w:pPr>
      <w:r>
        <w:rPr>
          <w:rFonts w:hint="eastAsia" w:ascii="宋体" w:hAnsi="宋体"/>
          <w:sz w:val="24"/>
        </w:rPr>
        <w:t>（一）抽样地点：成品库。</w:t>
      </w:r>
    </w:p>
    <w:p>
      <w:pPr>
        <w:pStyle w:val="10"/>
        <w:spacing w:after="0" w:line="360" w:lineRule="auto"/>
        <w:ind w:firstLine="480" w:firstLineChars="200"/>
        <w:rPr>
          <w:rFonts w:ascii="宋体" w:hAnsi="宋体"/>
          <w:sz w:val="24"/>
        </w:rPr>
      </w:pPr>
      <w:r>
        <w:rPr>
          <w:rFonts w:hint="eastAsia" w:ascii="宋体" w:hAnsi="宋体"/>
          <w:sz w:val="24"/>
        </w:rPr>
        <w:t>（二）抽样基数：净含量大于或等于10 kg。抽样以“批”为单位。具有相同的茶类、花色、等级、茶号、包装规格和净含量，品质一致，并在同一地点、同一期间内加工包装的产品集合为一批。</w:t>
      </w:r>
    </w:p>
    <w:p>
      <w:pPr>
        <w:pStyle w:val="10"/>
        <w:spacing w:after="0" w:line="360" w:lineRule="auto"/>
        <w:ind w:firstLine="480" w:firstLineChars="200"/>
        <w:rPr>
          <w:rFonts w:ascii="宋体" w:hAnsi="宋体"/>
          <w:sz w:val="24"/>
        </w:rPr>
      </w:pPr>
      <w:r>
        <w:rPr>
          <w:rFonts w:hint="eastAsia" w:ascii="宋体" w:hAnsi="宋体"/>
          <w:sz w:val="24"/>
        </w:rPr>
        <w:t>（三）抽样方法及数量：抽样方法按GB/T8302《茶 取样》的规定。样品数量为1000g。对单块质量在500g以上的紧压茶应抽取2块。样品分成2份，1份检验，1份备用。</w:t>
      </w:r>
    </w:p>
    <w:p>
      <w:pPr>
        <w:pStyle w:val="10"/>
        <w:spacing w:after="0" w:line="360" w:lineRule="auto"/>
        <w:ind w:firstLine="480" w:firstLineChars="200"/>
        <w:rPr>
          <w:rFonts w:ascii="宋体" w:hAnsi="宋体"/>
          <w:sz w:val="24"/>
        </w:rPr>
      </w:pPr>
      <w:r>
        <w:rPr>
          <w:rFonts w:hint="eastAsia" w:ascii="宋体" w:hAnsi="宋体"/>
          <w:sz w:val="24"/>
        </w:rPr>
        <w:t>（四）封样和送样要求：抽取的样品应迅速分装于2个茶样罐或茶样袋中，封口后现场贴上封条，并应有抽样人的签名。抽样单一式4份，应注明抽样日期、抽样地点、抽样方法、抽样基数、抽样数量和抽样人、被抽查单位的签字等。样品运送过程中，应做好防潮、防压、防晒等工作。茶样罐或茶样袋应清洁、干燥、无异味，能防潮、避光。</w:t>
      </w:r>
    </w:p>
    <w:p>
      <w:pPr>
        <w:pStyle w:val="3"/>
        <w:spacing w:before="0" w:after="0" w:line="360" w:lineRule="auto"/>
        <w:rPr>
          <w:rFonts w:ascii="宋体" w:hAnsi="宋体" w:eastAsia="宋体"/>
          <w:sz w:val="24"/>
          <w:szCs w:val="24"/>
        </w:rPr>
      </w:pPr>
      <w:bookmarkStart w:id="13" w:name="_Toc33029713"/>
      <w:r>
        <w:rPr>
          <w:rFonts w:hint="eastAsia" w:ascii="宋体" w:hAnsi="宋体" w:eastAsia="宋体"/>
          <w:sz w:val="24"/>
          <w:szCs w:val="24"/>
        </w:rPr>
        <w:t>九、其他要求</w:t>
      </w:r>
      <w:bookmarkEnd w:id="13"/>
    </w:p>
    <w:p>
      <w:pPr>
        <w:pStyle w:val="10"/>
        <w:spacing w:after="0" w:line="360" w:lineRule="auto"/>
        <w:ind w:firstLine="480" w:firstLineChars="200"/>
        <w:rPr>
          <w:rFonts w:ascii="宋体" w:hAnsi="宋体"/>
          <w:sz w:val="24"/>
        </w:rPr>
      </w:pPr>
      <w:r>
        <w:rPr>
          <w:rFonts w:hint="eastAsia" w:ascii="宋体" w:hAnsi="宋体"/>
          <w:sz w:val="24"/>
        </w:rPr>
        <w:t>（一）本类产品允许分装。</w:t>
      </w:r>
    </w:p>
    <w:p>
      <w:pPr>
        <w:pStyle w:val="10"/>
        <w:spacing w:after="0" w:line="360" w:lineRule="auto"/>
        <w:ind w:firstLine="480" w:firstLineChars="200"/>
        <w:rPr>
          <w:rFonts w:ascii="宋体" w:hAnsi="宋体"/>
          <w:sz w:val="24"/>
        </w:rPr>
      </w:pPr>
      <w:r>
        <w:rPr>
          <w:rFonts w:hint="eastAsia" w:ascii="宋体" w:hAnsi="宋体"/>
          <w:sz w:val="24"/>
        </w:rPr>
        <w:t>（二）企业和质检机构承担茶叶感官审评的人员，必须经统一的培训，取得国家特有工种“评茶员”的职业资格后，才能从事相应的检验工作。</w:t>
      </w:r>
    </w:p>
    <w:p>
      <w:pPr>
        <w:pStyle w:val="10"/>
        <w:spacing w:after="0" w:line="360" w:lineRule="auto"/>
        <w:ind w:firstLine="480" w:firstLineChars="200"/>
        <w:rPr>
          <w:rFonts w:ascii="宋体" w:hAnsi="宋体"/>
          <w:sz w:val="24"/>
        </w:rPr>
      </w:pPr>
      <w:r>
        <w:rPr>
          <w:rFonts w:hint="eastAsia" w:ascii="宋体" w:hAnsi="宋体"/>
          <w:sz w:val="24"/>
        </w:rPr>
        <w:t>（三）茶叶产品必须包装出厂。</w:t>
      </w:r>
    </w:p>
    <w:p>
      <w:pPr>
        <w:spacing w:line="360" w:lineRule="auto"/>
        <w:rPr>
          <w:rFonts w:ascii="宋体" w:hAnsi="宋体"/>
          <w:sz w:val="24"/>
        </w:rPr>
      </w:pPr>
    </w:p>
    <w:p>
      <w:pPr>
        <w:jc w:val="center"/>
        <w:rPr>
          <w:rFonts w:asciiTheme="minorEastAsia" w:hAnsiTheme="minorEastAsia" w:eastAsiaTheme="minorEastAsia" w:cstheme="minorBidi"/>
          <w:sz w:val="32"/>
          <w:szCs w:val="32"/>
        </w:rPr>
      </w:pPr>
      <w:r>
        <w:rPr>
          <w:rFonts w:hint="eastAsia" w:asciiTheme="minorEastAsia" w:hAnsiTheme="minorEastAsia" w:eastAsiaTheme="minorEastAsia" w:cstheme="minorBidi"/>
          <w:sz w:val="32"/>
          <w:szCs w:val="32"/>
        </w:rPr>
        <w:t>茶叶生产许可证审查细则(2006版)的补充说明</w:t>
      </w:r>
    </w:p>
    <w:p>
      <w:pPr>
        <w:spacing w:line="480" w:lineRule="auto"/>
        <w:rPr>
          <w:rFonts w:asciiTheme="minorEastAsia" w:hAnsiTheme="minorEastAsia" w:eastAsiaTheme="minorEastAsia" w:cstheme="minorBidi"/>
          <w:sz w:val="24"/>
        </w:rPr>
      </w:pP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一、发证范围的确定及申证单元的划分</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（一）实施食品生产许可证管理的茶叶产品</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实施食品生产许可证管理的茶叶是指以茶树鲜叶为原料加工制作的茶叶产品。我国的茶叶产品，根据不同的加工工艺分为绿茶、红茶、乌龙茶、黄茶、白茶、黑茶六大茶类，通过再加工可制成的花茶、袋泡茶、紧压茶三类产品，一共是九类产品（上述产品不含有任何添加剂，不论是天然的还是化学合成的）。</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根据国家相关部门的要求和我国茶叶生产和销售的实际情况，2006版的茶叶生产许可证审查细则增加了边销茶的申证单元和审查细则，主要是为了加强对在边疆少数民族地区销售的紧压茶产品（黑砖茶、花砖茶、茯砖茶、康砖茶、金尖茶、青砖茶、米砖茶等）的生产监管，保证边疆少数民族地区人们的用茶安全。生产紧压茶的企业如其产品要在边疆少数民族地区销售，应申证边销茶单元，取得相应的生产许可证。</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（二）紧压茶、边销茶主要产品介绍</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紧压茶主要有花砖茶、黑砖茶、茯砖茶、康砖茶、沱茶、紧茶、金尖茶、青砖茶、米砖茶，还有方包茶、七子饼茶等产品。其中花砖茶、黑砖茶、茯砖茶和方包茶通常由黑毛茶加工压制，康砖茶和金尖茶通常由康南边茶、川南边茶加工压制，沱茶、紧茶和七子饼茶通常由云南晒青或普洱茶加工压制，青砖茶通常由老青茶加工压制，米砖茶通常由红茶（碎末）加工压制。</w:t>
      </w:r>
    </w:p>
    <w:p>
      <w:pPr>
        <w:spacing w:line="480" w:lineRule="auto"/>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边销茶主要是指在边疆少数民族地区（新疆、内蒙古、青海、甘肃、四川、西藏、宁夏、云南等少数民族聚居的地区）销售的紧压茶（俗称砖茶）产品，包括花砖茶、黑砖茶、茯砖茶、康砖茶、沱茶、紧茶、金尖茶、青砖茶、米砖茶等。</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（三）茶叶的申证单元</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茶叶的申证单元为2个，即茶叶（绿茶、红茶、乌龙茶、黄茶、白茶、黑茶、花茶、袋泡茶、紧压茶等九类产品）和边销茶（指紧压茶中在边疆少数民族地区销售的花砖茶、黑砖茶、茯砖茶、康砖茶、沱茶、紧茶、金尖茶、青砖茶、米砖茶等产品）。</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（四）标注的有关规定</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生产许可证上应注明生产范围，即产品名称：茶叶（绿茶、红茶、乌龙茶、黄茶、白茶、黑茶、花茶、袋泡茶、紧压茶中的一类或几类），边销茶（花砖茶、黑砖茶、茯砖茶、康砖茶、沱茶、紧茶、金尖茶、青砖茶、米砖茶等的一种或几种）。茶叶产品允许分装，分装产品应单独注明；边销茶产品不允许分装。茶叶生产许可证有效期为三年，其产品类别编号为：1401。</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（五）相关说明</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茶叶产品允许分装，但地理标志（原产地域）的茶叶产品不允许分装。紧压茶产品不允许分装，包装的标签应符合GB 7718《预包装食品标签通则》。</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茶叶产品与一般的食品有许多不同点，主要有：1、茶叶产品不以水作为生产原料，相反是以不断地通过不同的干燥手段来达到茶鲜叶的失水和保持产品的干燥程度。一般情况下，绿茶、红茶、乌龙茶、黄茶、白茶产品的水分控制在7%以下，黑茶、花茶、袋泡茶产品水分控制在9%以下，紧压茶根据产品要求的不同一般控制在9~12%以下。一般情况下，含水率在10%以下的茶叶产品一般不滋生微生物，同时由于茶叶产品目前并不要求检验微生物，因此茶叶的生产过程不要求杀菌和消毒，只要做到干燥、干净就行。2、茶叶产品是由茶树鲜叶加工而成，不允许添加任何非茶类物质（除花茶要求鲜花窨制外）。因此在茶叶产品中添加任何物质（如香精、色素、甜味剂等等）都是不允许的。茶叶产品不存在要加添加剂的概念。3、茶叶产品并不直接入口，它是通过泡（煮）茶的方式，饮茶汤入口。（当然现在有茶粉、速溶茶等产品可直接入口，但它的加工、卫生等条件要严格得多，有时连空气都要净化，但现不在此次茶叶生产许可证发证范围。）</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三、生产加工工序及容易出现的质量安全问题</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（一）紧压茶、边销茶基本生产加工工序</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紧压茶、边销茶生产的主要工序为筛切拼堆、（渥堆）、蒸压成型、干燥。</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“筛切拼堆”是将（黑）毛茶原料过筛、风选、去杂、长切短，制成一定规格的原料。</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“渥堆”是根据不同产品的要求进行的（如米砖茶是不需要渥堆的），通常通过在茶叶原料中加水、加热后进行发酵，以达到该产品的品质特点。</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“蒸压成型”是紧压茶生产不可缺少的工序，将准备好的原料通过蒸汽加热，趁热压制成型。</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“干燥”是一个低温慢烘的过程，一般都在十天以上。产品的含水率一般控制在13%左右。</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（二）紧压茶、边销茶容易或可能出现的各种质量安全问题</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1.茶叶原料：加工原料的鲜叶在生长过程中易被有害有毒物质污染，造成茶叶产品农药残留量及有害元素含量超标；修剪叶落地摊放，易使原料夹杂物增加，造成非茶类夹杂物、总灰分及有害元素含量超标；原料选择不当或过份粗老，易造成氟含量过高。</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2.加工过程：厂房设施及加工设备简陋直接影响产品的质量安全和品质；管理不当或卫生条件差易造成非茶类夹杂物、总灰分及茶梗超标和污染物限量超标。</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3.仓储、运输过程：易受设备、包装物、场所和人员行为的污染；通风不畅会使产品品质和卫生状况下降。</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（三）关键控制环节点</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原料、加工管理、仓储。</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1、原料的验收和处理</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紧压茶、边销茶企业生产所需的毛茶原料应洁净，符合相关的工艺和标准要求。毛茶原料的农药残留量应符合相关标准的规定，不含任何杂质和添加剂。企业应有原料验收制度，建立相关的采购档案，使原料来源有可追溯性。</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毛茶原料验收后应立即进入仓库，妥善保管，防止受到各种污染。</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2、加工管理</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紧压茶、边销茶生产企业的厂房设施及加工设备直接影响产品的质量安全和品质。厂房设施、加工设备和压制模具应清洁，蒸汽管道和人流、物流布局应合理，应避免交叉污染。原料的拼配比例、渥堆的工艺过程、蒸压成型的掌握、烘房的质量管理等，应严格按工艺流程规范和标准的规定进行。</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3、产品仓储</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紧压茶、边销茶产品在仓储过程中要加强仓库、包装物、和人员行为的管理；仓库应有通风设施。</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四、必备条件的审查方法及要求</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（一）生产场所</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1、茶叶生产企业应远离各种污染源，如化工企业、垃圾场等。特别应注意厂房、仓库四周不应有其他的气味存在。</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2、紧压茶、边销茶企业加工车间的面积应不少于设备占地面积的10倍。这是因为紧压茶、边销茶生产企业的生产量比较大，原料、半成品、待制品等需要有一定的周转空间，生产车间需要通风、散热，而且人流、物流布局应合理、有序。加工车间的地面应硬实、平整、光洁（至少应为水泥地面），要保持加工环境的清洁，减少空气中的尘埃。紧压茶、边销茶生产企业还应有烘房设施（烘房具有缓慢烘干的作用），烘房应干净、无异味。</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3、紧压茶、边销茶生产企业的锅炉间应单独设臵，锅炉应选用卧式锅炉（立式锅炉安全性较差），锅炉间应有专人负责，并有防止燃煤污染和保障安全的措施。存放燃料应有单独的场所，蒸汽管道的设臵应合理。</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4、紧压茶、边销茶生产企业应有足够的原料、辅料、半成品和成品仓库或场地，以保证原料、辅料、半成品和成品不被污染。原料、辅料、半成品和成品应分开放臵，不得混放，避免其相互影响品质和影响正常生产及工艺流程。茶叶仓库应清洁、无异气味，不得堆放生产资料和杂物，以保持茶叶原有的品质和质量，防止茶叶受到污染。</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（二）必备的生产设备</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紧压茶、边销茶生产企业应有相应的筛分设备、锅炉、压制设备和干燥设备。筛分设备有圆筛机、抖筛机等；压制设备根据不同的产品而定；干燥设备一般采用烘房。紧压茶、边销茶的生产还需产生蒸汽的锅炉，锅炉有立式锅炉和卧式锅炉，以卧式锅炉为好。</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（三）产品的相关标准</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企业应有与其生产的产品类别或品种相适应的产品标准。目前紧压茶、边销茶生产所依据的国家标准有GB 2762《食品中污染物限量》，GB 2763《食品中农药残留限量》，GB/T 9833.1《紧压茶花砖茶》，GB/T 9833.2《紧压茶黑砖茶》，GB/T 9833.3《紧压茶茯砖茶》，GB/T 9833.4《紧压茶康砖茶》，GB/T 9833.5《紧压茶沱茶》，GB/T 9833.6《紧压茶紧茶》，GB/T 9833.7《紧压茶金尖茶》，GB/T 9833.8《紧压茶米砖茶》，GB/T 9833.9《紧压茶青砖茶》，GB 19965《砖茶氟含量》。部分产品如没有国家标准的，可依据相关地方标准或备案有效的企业标准。</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（四）原辅材料的有关要求</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1、紧压茶、边销茶产品的茶叶原料必须符合正常的品质特征，无异味、无异嗅、无霉变；不着色，无任何添加剂，无非茶类夹杂物；符合相关茶叶标准要求。</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2、紧压茶、边销茶产品的包装多选用纸、盒和传统的篾篓（指采用竹篾用人字形斜纹编织而成的包装容器）。包装用纸应符合GB 11680《食品包装用原纸卫生标准》的规定，篾篓应干净，无异味、无虫蛀。</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（五）必备的出厂检验设备及设施</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在边销茶审查细则中，产品的出厂检验增加了总灰分检验项目。这是因为目前边销茶产品由于原料价格低廉，总灰分含量普遍偏高。要求生产企业具有总灰分的检验能力，严格进行原料验收和出厂检验的总灰分检验，以期提高产品质量，保证边疆少数民族地区的用茶安全。因此边销茶生产企业应在具备感官品质、水分、净含量、茶梗、非茶类夹杂物的检验设备及设施的基础上，增加总灰分检验的设备。</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总灰分检验的主要设备有：⑴分析天平（精度1/1000g以上），⑵高温电阻炉（马福炉）（温控：525±25℃），⑶瓷质坩埚（30~50ml）,⑷玻质干燥器（内盛有效干燥剂）等。</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五、产品的检验</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（一）产品相关标准</w:t>
      </w:r>
    </w:p>
    <w:p>
      <w:pPr>
        <w:spacing w:line="480" w:lineRule="auto"/>
        <w:rPr>
          <w:rFonts w:asciiTheme="minorEastAsia" w:hAnsiTheme="minorEastAsia" w:eastAsiaTheme="minorEastAsia" w:cstheme="minorBidi"/>
          <w:sz w:val="24"/>
        </w:rPr>
      </w:pPr>
      <w:r>
        <w:rPr>
          <w:rFonts w:asciiTheme="minorEastAsia" w:hAnsiTheme="minorEastAsia" w:eastAsiaTheme="minorEastAsia" w:cstheme="minorBidi"/>
          <w:sz w:val="24"/>
        </w:rPr>
        <w:drawing>
          <wp:inline distT="0" distB="0" distL="0" distR="0">
            <wp:extent cx="5274310" cy="5730240"/>
            <wp:effectExtent l="0" t="0" r="2540" b="3810"/>
            <wp:docPr id="1" name="图片 1" descr="http://pic.jchotelex.com/big_pic/ab02915cd15abe23492f4d03%7C7%7C0%7C0%7C684%7C743%7Cjpg_6_0_______%7CJm1kNXN1bT1iZTVkMDA3N2E5YmMwMGY2OGMwMTM1NjdkNDQwMGVkMiZzaWduPTQ0MGZkOTM5YzAmcnRjc19mbGFnPTEmcnRjc192ZXI9Mw==%7CJnBuZz0wLTM5MCZqcGc9MC02NTI2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pic.jchotelex.com/big_pic/ab02915cd15abe23492f4d03%7C7%7C0%7C0%7C684%7C743%7Cjpg_6_0_______%7CJm1kNXN1bT1iZTVkMDA3N2E5YmMwMGY2OGMwMTM1NjdkNDQwMGVkMiZzaWduPTQ0MGZkOTM5YzAmcnRjc19mbGFnPTEmcnRjc192ZXI9Mw==%7CJnBuZz0wLTM5MCZqcGc9MC02NTI2M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5730800"/>
                    </a:xfrm>
                    <a:prstGeom prst="rect">
                      <a:avLst/>
                    </a:prstGeom>
                    <a:noFill/>
                    <a:ln>
                      <a:noFill/>
                    </a:ln>
                  </pic:spPr>
                </pic:pic>
              </a:graphicData>
            </a:graphic>
          </wp:inline>
        </w:drawing>
      </w:r>
    </w:p>
    <w:p>
      <w:pPr>
        <w:spacing w:line="480" w:lineRule="auto"/>
        <w:rPr>
          <w:rFonts w:asciiTheme="minorEastAsia" w:hAnsiTheme="minorEastAsia" w:eastAsiaTheme="minorEastAsia" w:cstheme="minorBidi"/>
          <w:sz w:val="24"/>
        </w:rPr>
      </w:pPr>
    </w:p>
    <w:p>
      <w:pPr>
        <w:spacing w:line="480" w:lineRule="auto"/>
        <w:rPr>
          <w:rFonts w:asciiTheme="minorEastAsia" w:hAnsiTheme="minorEastAsia" w:eastAsiaTheme="minorEastAsia" w:cstheme="minorBidi"/>
          <w:sz w:val="24"/>
        </w:rPr>
      </w:pPr>
      <w:r>
        <w:rPr>
          <w:rFonts w:asciiTheme="minorEastAsia" w:hAnsiTheme="minorEastAsia" w:eastAsiaTheme="minorEastAsia" w:cstheme="minorBidi"/>
          <w:sz w:val="24"/>
        </w:rPr>
        <w:drawing>
          <wp:inline distT="0" distB="0" distL="0" distR="0">
            <wp:extent cx="5212080" cy="8160385"/>
            <wp:effectExtent l="0" t="0" r="7620" b="0"/>
            <wp:docPr id="4" name="图片 4" descr="http://pic.jchotelex.com/jpg/ab02915cd15abe23492f4d03%7C8%7C0%7C0%7C684%7C1071%7Cjpg_6_0_______%7CJm1kNXN1bT1iZTVkMDA3N2E5YmMwMGY2OGMwMTM1NjdkNDQwMGVkMiZzaWduPTQ0MGZkOTM5YzAmcnRjc19mbGFnPTEmcnRjc192ZXI9Mw==%7CJnBuZz0zOTEtODgyJmpwZz02NTI2My0xNjU4O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pic.jchotelex.com/jpg/ab02915cd15abe23492f4d03%7C8%7C0%7C0%7C684%7C1071%7Cjpg_6_0_______%7CJm1kNXN1bT1iZTVkMDA3N2E5YmMwMGY2OGMwMTM1NjdkNDQwMGVkMiZzaWduPTQ0MGZkOTM5YzAmcnRjc19mbGFnPTEmcnRjc192ZXI9Mw==%7CJnBuZz0zOTEtODgyJmpwZz02NTI2My0xNjU4OT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14671" cy="8164637"/>
                    </a:xfrm>
                    <a:prstGeom prst="rect">
                      <a:avLst/>
                    </a:prstGeom>
                    <a:noFill/>
                    <a:ln>
                      <a:noFill/>
                    </a:ln>
                  </pic:spPr>
                </pic:pic>
              </a:graphicData>
            </a:graphic>
          </wp:inline>
        </w:drawing>
      </w:r>
    </w:p>
    <w:p>
      <w:pPr>
        <w:spacing w:line="480" w:lineRule="auto"/>
        <w:rPr>
          <w:rFonts w:asciiTheme="minorEastAsia" w:hAnsiTheme="minorEastAsia" w:eastAsiaTheme="minorEastAsia" w:cstheme="minorBidi"/>
          <w:sz w:val="24"/>
        </w:rPr>
      </w:pPr>
    </w:p>
    <w:p>
      <w:pPr>
        <w:spacing w:line="480" w:lineRule="auto"/>
        <w:rPr>
          <w:rFonts w:asciiTheme="minorEastAsia" w:hAnsiTheme="minorEastAsia" w:eastAsiaTheme="minorEastAsia" w:cstheme="minorBidi"/>
          <w:sz w:val="24"/>
        </w:rPr>
      </w:pPr>
      <w:r>
        <w:rPr>
          <w:rFonts w:asciiTheme="minorEastAsia" w:hAnsiTheme="minorEastAsia" w:eastAsiaTheme="minorEastAsia" w:cstheme="minorBidi"/>
          <w:sz w:val="24"/>
        </w:rPr>
        <w:drawing>
          <wp:inline distT="0" distB="0" distL="0" distR="0">
            <wp:extent cx="5274310" cy="254254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4310" cy="2542540"/>
                    </a:xfrm>
                    <a:prstGeom prst="rect">
                      <a:avLst/>
                    </a:prstGeom>
                  </pic:spPr>
                </pic:pic>
              </a:graphicData>
            </a:graphic>
          </wp:inline>
        </w:drawing>
      </w:r>
    </w:p>
    <w:p>
      <w:pPr>
        <w:spacing w:line="480" w:lineRule="auto"/>
        <w:rPr>
          <w:rFonts w:hint="eastAsia" w:asciiTheme="minorEastAsia" w:hAnsiTheme="minorEastAsia" w:eastAsiaTheme="minorEastAsia" w:cstheme="minorBidi"/>
          <w:sz w:val="24"/>
        </w:rPr>
      </w:pP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（二）产品检验项目</w:t>
      </w:r>
    </w:p>
    <w:p>
      <w:pPr>
        <w:spacing w:line="480" w:lineRule="auto"/>
        <w:rPr>
          <w:rFonts w:asciiTheme="minorEastAsia" w:hAnsiTheme="minorEastAsia" w:eastAsiaTheme="minorEastAsia" w:cstheme="minorBidi"/>
          <w:sz w:val="24"/>
        </w:rPr>
      </w:pPr>
      <w:r>
        <w:rPr>
          <w:rFonts w:asciiTheme="minorEastAsia" w:hAnsiTheme="minorEastAsia" w:eastAsiaTheme="minorEastAsia" w:cstheme="minorBidi"/>
          <w:sz w:val="24"/>
        </w:rPr>
        <w:drawing>
          <wp:inline distT="0" distB="0" distL="0" distR="0">
            <wp:extent cx="5274310" cy="5135245"/>
            <wp:effectExtent l="0" t="0" r="254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4310" cy="5135245"/>
                    </a:xfrm>
                    <a:prstGeom prst="rect">
                      <a:avLst/>
                    </a:prstGeom>
                  </pic:spPr>
                </pic:pic>
              </a:graphicData>
            </a:graphic>
          </wp:inline>
        </w:drawing>
      </w:r>
    </w:p>
    <w:p>
      <w:pPr>
        <w:spacing w:line="480" w:lineRule="auto"/>
        <w:rPr>
          <w:rFonts w:asciiTheme="minorEastAsia" w:hAnsiTheme="minorEastAsia" w:eastAsiaTheme="minorEastAsia" w:cstheme="minorBidi"/>
          <w:sz w:val="24"/>
        </w:rPr>
      </w:pPr>
    </w:p>
    <w:p>
      <w:pPr>
        <w:spacing w:line="480" w:lineRule="auto"/>
        <w:rPr>
          <w:rFonts w:asciiTheme="minorEastAsia" w:hAnsiTheme="minorEastAsia" w:eastAsiaTheme="minorEastAsia" w:cstheme="minorBidi"/>
          <w:sz w:val="24"/>
        </w:rPr>
      </w:pPr>
    </w:p>
    <w:p>
      <w:pPr>
        <w:spacing w:line="480" w:lineRule="auto"/>
        <w:rPr>
          <w:rFonts w:asciiTheme="minorEastAsia" w:hAnsiTheme="minorEastAsia" w:eastAsiaTheme="minorEastAsia" w:cstheme="minorBidi"/>
          <w:sz w:val="24"/>
        </w:rPr>
      </w:pPr>
      <w:r>
        <w:rPr>
          <w:rFonts w:asciiTheme="minorEastAsia" w:hAnsiTheme="minorEastAsia" w:eastAsiaTheme="minorEastAsia" w:cstheme="minorBidi"/>
          <w:sz w:val="24"/>
        </w:rPr>
        <w:drawing>
          <wp:inline distT="0" distB="0" distL="0" distR="0">
            <wp:extent cx="5257800" cy="65913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58256" cy="6591871"/>
                    </a:xfrm>
                    <a:prstGeom prst="rect">
                      <a:avLst/>
                    </a:prstGeom>
                  </pic:spPr>
                </pic:pic>
              </a:graphicData>
            </a:graphic>
          </wp:inline>
        </w:drawing>
      </w:r>
    </w:p>
    <w:p>
      <w:pPr>
        <w:spacing w:line="480" w:lineRule="auto"/>
        <w:rPr>
          <w:rFonts w:asciiTheme="minorEastAsia" w:hAnsiTheme="minorEastAsia" w:eastAsiaTheme="minorEastAsia" w:cstheme="minorBidi"/>
          <w:sz w:val="24"/>
        </w:rPr>
      </w:pPr>
    </w:p>
    <w:p>
      <w:pPr>
        <w:spacing w:line="480" w:lineRule="auto"/>
        <w:rPr>
          <w:rFonts w:asciiTheme="minorEastAsia" w:hAnsiTheme="minorEastAsia" w:eastAsiaTheme="minorEastAsia" w:cstheme="minorBidi"/>
          <w:sz w:val="24"/>
        </w:rPr>
      </w:pPr>
      <w:r>
        <w:rPr>
          <w:rFonts w:hint="eastAsia" w:asciiTheme="minorEastAsia" w:hAnsiTheme="minorEastAsia" w:eastAsiaTheme="minorEastAsia" w:cstheme="minorBidi"/>
          <w:sz w:val="24"/>
        </w:rPr>
        <w:t>注：在国质检食监函…</w:t>
      </w:r>
      <w:r>
        <w:rPr>
          <w:rFonts w:asciiTheme="minorEastAsia" w:hAnsiTheme="minorEastAsia" w:eastAsiaTheme="minorEastAsia" w:cstheme="minorBidi"/>
          <w:sz w:val="24"/>
        </w:rPr>
        <w:t>2006</w:t>
      </w:r>
      <w:r>
        <w:rPr>
          <w:rFonts w:ascii="MS Mincho" w:hAnsi="MS Mincho" w:cs="MS Mincho" w:eastAsiaTheme="minorEastAsia"/>
          <w:sz w:val="24"/>
        </w:rPr>
        <w:t>‟</w:t>
      </w:r>
      <w:r>
        <w:rPr>
          <w:rFonts w:asciiTheme="minorEastAsia" w:hAnsiTheme="minorEastAsia" w:eastAsiaTheme="minorEastAsia" w:cstheme="minorBidi"/>
          <w:sz w:val="24"/>
        </w:rPr>
        <w:t>462</w:t>
      </w:r>
      <w:r>
        <w:rPr>
          <w:rFonts w:hint="eastAsia" w:asciiTheme="minorEastAsia" w:hAnsiTheme="minorEastAsia" w:eastAsiaTheme="minorEastAsia" w:cstheme="minorBidi"/>
          <w:sz w:val="24"/>
        </w:rPr>
        <w:t>号的《茶叶生产许可证审查细则（</w:t>
      </w:r>
      <w:r>
        <w:rPr>
          <w:rFonts w:asciiTheme="minorEastAsia" w:hAnsiTheme="minorEastAsia" w:eastAsiaTheme="minorEastAsia" w:cstheme="minorBidi"/>
          <w:sz w:val="24"/>
        </w:rPr>
        <w:t>2006</w:t>
      </w:r>
      <w:r>
        <w:rPr>
          <w:rFonts w:hint="eastAsia" w:asciiTheme="minorEastAsia" w:hAnsiTheme="minorEastAsia" w:eastAsiaTheme="minorEastAsia" w:cstheme="minorBidi"/>
          <w:sz w:val="24"/>
        </w:rPr>
        <w:t>版）》的茶叶产品质量检验项目表中第</w:t>
      </w:r>
      <w:r>
        <w:rPr>
          <w:rFonts w:asciiTheme="minorEastAsia" w:hAnsiTheme="minorEastAsia" w:eastAsiaTheme="minorEastAsia" w:cstheme="minorBidi"/>
          <w:sz w:val="24"/>
        </w:rPr>
        <w:t>17</w:t>
      </w:r>
      <w:r>
        <w:rPr>
          <w:rFonts w:hint="eastAsia" w:asciiTheme="minorEastAsia" w:hAnsiTheme="minorEastAsia" w:eastAsiaTheme="minorEastAsia" w:cstheme="minorBidi"/>
          <w:sz w:val="24"/>
        </w:rPr>
        <w:t>、</w:t>
      </w:r>
      <w:r>
        <w:rPr>
          <w:rFonts w:asciiTheme="minorEastAsia" w:hAnsiTheme="minorEastAsia" w:eastAsiaTheme="minorEastAsia" w:cstheme="minorBidi"/>
          <w:sz w:val="24"/>
        </w:rPr>
        <w:t>18</w:t>
      </w:r>
      <w:r>
        <w:rPr>
          <w:rFonts w:hint="eastAsia" w:asciiTheme="minorEastAsia" w:hAnsiTheme="minorEastAsia" w:eastAsiaTheme="minorEastAsia" w:cstheme="minorBidi"/>
          <w:sz w:val="24"/>
        </w:rPr>
        <w:t>项重复，其中一项应改为杀螟硫磷。</w:t>
      </w:r>
    </w:p>
    <w:p>
      <w:pPr>
        <w:spacing w:line="480" w:lineRule="auto"/>
        <w:rPr>
          <w:rFonts w:asciiTheme="minorEastAsia" w:hAnsiTheme="minorEastAsia" w:eastAsiaTheme="minorEastAsia" w:cstheme="minorBidi"/>
          <w:sz w:val="24"/>
        </w:rPr>
      </w:pP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（三）相关说明</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1、GB 9679-1988《茶叶卫生标准》已于2005年10月被废止，茶叶卫生的理化指标在GB 2762-2005《食品中污染物限量》和GB 2763《食品中农药残留最大限量》中作了规定。</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GB 2762-2005《食品中污染物限量》中相关茶叶产品的规定：铅限量：5mg/kg；稀土总量（镧、铈、镨、钕、钐的氧化物）限量：2mg/kg。</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GB 2763-2005《食品中农药最大残留限量》中相关茶叶产品的规定：六六六最大再残留量：0.2mg/kg；滴滴涕最大再残留量：0.2mg/kg；顺式氰戊菊酯最大残留量：2mg/kg；溴氰菊酯最大残留量：10mg/kg；氟氰戊菊酯最大残留量：20mg/kg；氯氰菊酯最大残留量：20mg/kg；氯菊酯最大残留量：20mg/kg；乙酰甲胺磷最大残留量：0.1mg/kg；杀螟硫磷最大残留量：0.5mg/kg。</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2、GB 19965-2005《砖茶氟含量》已于2005年10月发布，2006年5月实施。规定砖茶中氟的限量指标为：300 mg/kg。</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（三）产品检验</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1、发证检验</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茶叶生产许可证审查细则（包括边销茶生产许可证审查细则）中发证检验所列项目共计26项，分别为标签、净含量、感官品质、水分、总灰分、水溶性灰分、酸不溶性灰分、水溶性灰分碱度、水浸出物、粗纤维、粉末和碎茶、茶梗、非茶类夹杂物、铅、稀土总量、六六六总量、滴滴涕总量、顺式氰戊菊酯、溴氰菊酯、氟氰戊菊酯、氯氰菊酯、氯菊酯、乙酰甲胺磷、杀螟硫磷、氟和执行标准规定的其他项目。其中水溶性灰分、酸不溶性灰分、水溶性灰分碱度、水浸出物、粗纤维、粉末和碎茶、茶梗、非茶类夹杂物、氟等检验项目，如执行的产品标准无此项要求或为参考（推荐）指标的不检验。</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产品检验应按标准规定的检验方法进行。</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2、监督检验</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茶叶生产许可证审查细则中监督检验所列项目共计20项，分别为标签、净含量、感官品质、水分、总灰分、茶梗、非茶类夹杂物、铅、稀土总量、六六六总量、滴滴涕总量、顺式氰戊菊酯、溴氰菊酯、氟氰戊菊酯、氯氰菊酯、氯菊酯、乙酰甲胺磷、杀螟硫磷、氟和执行标准规定的其他项目。其中茶梗、非茶类夹杂物等检验项目如执行的产品标准无此项要求的不检验。</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产品检验应按相应的方法标准进行。</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3、出厂检验</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茶叶生产许可证审查细则规定出厂检验逐批必检的项目共计6项，分别为净含量、感官品质、水分、粉末和碎茶、茶梗、非茶类夹杂物。其中粉末和碎茶、茶梗、非茶类夹杂物3个检验项目，如产品标准未做规定的不用检验。</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边销茶审证单元的生产许可证审查细则规定出厂检验逐批必检的项目共计6项，分别为净含量、感官品质、水分、总灰分、茶梗、非茶类夹杂物。</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带“*”的出厂检验项目可委托省级以上具有法定检验资格的检验机构进行检验，各类别的主导产品每年对有“*”号标记的项目至少检验2次。</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4、判定原则</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产品发证检验：检验项目全部符合标准的，判为合格，符合发证条件；检验项目中有1项或1项以上不符合标准的判为不合格，不符合发证条件。</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产品监督检验：检验项目全部符合标准的，判为合格；检验项目中有1项或1项以上不符合标准的判为不合格。</w:t>
      </w:r>
    </w:p>
    <w:p>
      <w:pPr>
        <w:spacing w:line="480" w:lineRule="auto"/>
        <w:ind w:firstLine="480" w:firstLineChars="200"/>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产品出厂检验：产品出厂应逐批检验，符合标准要求的判为合格品，准予出厂销售；不符合标准要求的判为不合格品，严禁出厂销售。带“*”的出厂检验项目，如有1项或1项以上不符合标准的，企业应查找原因、进行整改，直至再次检验合格后，产品方可出厂销售。</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六、抽样方法</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一）审查组在完成现场审查后，对现场审查合格的企业，根据企业申证单元的发证产品类别，在企业的成品仓库中抽取该类别（绿茶类、红茶类、乌龙茶类、黄茶类、白茶类、黑茶类、花茶类、袋泡茶类、紧压茶类、边销茶类）中产量最大的产品进行检验。同时生产多类产品的，每类产品都应抽取。同一产品，同一生产场地，使用不同注册商标的产品不重复抽取。</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（二）抽样基数：净含量大于或等于10 Kg，边销茶的抽样基数不得少于50 Kg。抽样以“批”为单位。具有相同的茶类、花色、等级、茶号、包装规格和净含量，品质一致，并在同一地点、同一期间内加工包装的产品集合为一批。</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三）抽样方法及数量：抽样方法按GB/T8302-2002《茶取样》的规定。样品数量为1000g（采用分样器或四分法将样品逐步缩分至1000g）。对单块质量在500g以上的紧压茶应抽取2块,单块质量为500g或500g以下的紧压茶应抽取4块。边销茶的抽样数量为4kg（不少于2个包装）。样品应分装于两个茶样罐或茶样袋中，一份供检验用，另一份供复验或备查用。</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四）封样和送样要求：抽取的样品应迅速分装于两个茶样罐或茶样袋中，封口后现场贴上封条，并应有抽样人的签名。抽样单一式四份，应注明抽样日期、抽样地点、抽样方法、抽样基数、抽样数量和抽样人、被抽查单位的签字等。样品运送过程中，应做好防潮、防压、防晒等工作。茶样罐或茶样袋应清洁、干燥、无异味，能防潮、避光。</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七、相关要求</w:t>
      </w:r>
    </w:p>
    <w:p>
      <w:pPr>
        <w:spacing w:line="480" w:lineRule="auto"/>
        <w:rPr>
          <w:rFonts w:hint="eastAsia" w:asciiTheme="minorEastAsia" w:hAnsiTheme="minorEastAsia" w:eastAsiaTheme="minorEastAsia" w:cstheme="minorBidi"/>
          <w:sz w:val="24"/>
        </w:rPr>
      </w:pPr>
      <w:r>
        <w:rPr>
          <w:rFonts w:hint="eastAsia" w:asciiTheme="minorEastAsia" w:hAnsiTheme="minorEastAsia" w:eastAsiaTheme="minorEastAsia" w:cstheme="minorBidi"/>
          <w:sz w:val="24"/>
        </w:rPr>
        <w:t>1、在对边销茶生产加工企业进行现场核查时，应当有地方民族工作管理部门和边销茶工作管理部门的人员共同参与。</w:t>
      </w:r>
    </w:p>
    <w:p>
      <w:pPr>
        <w:spacing w:line="480" w:lineRule="auto"/>
        <w:rPr>
          <w:rFonts w:asciiTheme="minorEastAsia" w:hAnsiTheme="minorEastAsia" w:eastAsiaTheme="minorEastAsia" w:cstheme="minorBidi"/>
          <w:sz w:val="24"/>
        </w:rPr>
      </w:pPr>
    </w:p>
    <w:p>
      <w:pPr>
        <w:spacing w:line="480" w:lineRule="auto"/>
        <w:ind w:firstLine="4320" w:firstLineChars="1800"/>
        <w:rPr>
          <w:rFonts w:asciiTheme="minorEastAsia" w:hAnsiTheme="minorEastAsia" w:eastAsiaTheme="minorEastAsia" w:cstheme="minorBidi"/>
          <w:sz w:val="24"/>
        </w:rPr>
      </w:pPr>
      <w:r>
        <w:rPr>
          <w:rFonts w:hint="eastAsia" w:asciiTheme="minorEastAsia" w:hAnsiTheme="minorEastAsia" w:eastAsiaTheme="minorEastAsia" w:cstheme="minorBidi"/>
          <w:sz w:val="24"/>
        </w:rPr>
        <w:t>国家茶叶质量监督检验中心 2006-7-28</w:t>
      </w:r>
    </w:p>
    <w:p>
      <w:pPr>
        <w:spacing w:line="480" w:lineRule="auto"/>
        <w:rPr>
          <w:rFonts w:asciiTheme="minorEastAsia" w:hAnsiTheme="minorEastAsia" w:eastAsiaTheme="minorEastAsia" w:cstheme="minorBidi"/>
          <w:sz w:val="24"/>
        </w:rPr>
      </w:pPr>
    </w:p>
    <w:p>
      <w:pPr>
        <w:spacing w:line="480" w:lineRule="auto"/>
        <w:rPr>
          <w:rFonts w:hint="eastAsia" w:ascii="宋体" w:hAnsi="宋体"/>
          <w:sz w:val="24"/>
        </w:rPr>
      </w:pPr>
    </w:p>
    <w:sectPr>
      <w:headerReference r:id="rId3" w:type="default"/>
      <w:footerReference r:id="rId4" w:type="default"/>
      <w:pgSz w:w="11906" w:h="16838"/>
      <w:pgMar w:top="1247" w:right="1701" w:bottom="1247" w:left="1701"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楷体" w:hAnsi="楷体" w:eastAsia="楷体" w:cs="楷体"/>
      </w:rPr>
    </w:pPr>
    <w:r>
      <w:rPr>
        <w:rFonts w:hint="eastAsia" w:ascii="楷体" w:hAnsi="楷体" w:eastAsia="楷体" w:cs="楷体"/>
        <w:sz w:val="21"/>
        <w:szCs w:val="21"/>
      </w:rPr>
      <w:t>技术服务范围：食品工厂设计 食品标签审核 食品生产许可办理  食品企业培训 企标备案</w:t>
    </w:r>
  </w:p>
  <w:p>
    <w:pPr>
      <w:pStyle w:val="7"/>
      <w:jc w:val="center"/>
    </w:pPr>
    <w:r>
      <w:rPr>
        <w:sz w:val="21"/>
      </w:rPr>
      <mc:AlternateContent>
        <mc:Choice Requires="wps">
          <w:drawing>
            <wp:anchor distT="0" distB="0" distL="114300" distR="114300" simplePos="0" relativeHeight="251659264" behindDoc="0" locked="0" layoutInCell="1" allowOverlap="1">
              <wp:simplePos x="0" y="0"/>
              <wp:positionH relativeFrom="margin">
                <wp:posOffset>2179955</wp:posOffset>
              </wp:positionH>
              <wp:positionV relativeFrom="paragraph">
                <wp:posOffset>22860</wp:posOffset>
              </wp:positionV>
              <wp:extent cx="915035" cy="147955"/>
              <wp:effectExtent l="0" t="3810" r="127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7"/>
                            <w:rPr>
                              <w:rFonts w:eastAsia="楷体"/>
                            </w:rPr>
                          </w:pPr>
                          <w:r>
                            <w:rPr>
                              <w:rFonts w:eastAsia="楷体"/>
                            </w:rPr>
                            <w:t xml:space="preserve">第 </w:t>
                          </w:r>
                          <w:r>
                            <w:rPr>
                              <w:rFonts w:eastAsia="楷体"/>
                            </w:rPr>
                            <w:fldChar w:fldCharType="begin"/>
                          </w:r>
                          <w:r>
                            <w:rPr>
                              <w:rFonts w:eastAsia="楷体"/>
                            </w:rPr>
                            <w:instrText xml:space="preserve"> PAGE  \* MERGEFORMAT </w:instrText>
                          </w:r>
                          <w:r>
                            <w:rPr>
                              <w:rFonts w:eastAsia="楷体"/>
                            </w:rPr>
                            <w:fldChar w:fldCharType="separate"/>
                          </w:r>
                          <w:r>
                            <w:rPr>
                              <w:rFonts w:eastAsia="楷体"/>
                            </w:rPr>
                            <w:t>20</w:t>
                          </w:r>
                          <w:r>
                            <w:rPr>
                              <w:rFonts w:eastAsia="楷体"/>
                            </w:rPr>
                            <w:fldChar w:fldCharType="end"/>
                          </w:r>
                          <w:r>
                            <w:rPr>
                              <w:rFonts w:eastAsia="楷体"/>
                            </w:rPr>
                            <w:t xml:space="preserve"> 页 共 </w:t>
                          </w:r>
                          <w:r>
                            <w:rPr>
                              <w:rFonts w:eastAsia="楷体"/>
                            </w:rPr>
                            <w:fldChar w:fldCharType="begin"/>
                          </w:r>
                          <w:r>
                            <w:rPr>
                              <w:rFonts w:eastAsia="楷体"/>
                            </w:rPr>
                            <w:instrText xml:space="preserve"> NUMPAGES  \* MERGEFORMAT </w:instrText>
                          </w:r>
                          <w:r>
                            <w:rPr>
                              <w:rFonts w:eastAsia="楷体"/>
                            </w:rPr>
                            <w:fldChar w:fldCharType="separate"/>
                          </w:r>
                          <w:r>
                            <w:rPr>
                              <w:rFonts w:eastAsia="楷体"/>
                            </w:rPr>
                            <w:t>20</w:t>
                          </w:r>
                          <w:r>
                            <w:rPr>
                              <w:rFonts w:eastAsia="楷体"/>
                            </w:rPr>
                            <w:fldChar w:fldCharType="end"/>
                          </w:r>
                          <w:r>
                            <w:rPr>
                              <w:rFonts w:eastAsia="楷体"/>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71.65pt;margin-top:1.8pt;height:11.65pt;width:72.05pt;mso-position-horizontal-relative:margin;mso-wrap-style:none;z-index:251659264;mso-width-relative:page;mso-height-relative:page;" filled="f" stroked="f" coordsize="21600,21600" o:gfxdata="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PiSKHWAAAACAEAAA8AAAAAAAAAAQAgAAAAIgAA&#10;AGRycy9kb3ducmV2LnhtbFBLAQIUABQAAAAIAIdO4kAm4gSpCgIAAAIEAAAOAAAAAAAAAAEAIAAA&#10;ACUBAABkcnMvZTJvRG9jLnhtbFBLBQYAAAAABgAGAFkBAAChBQAAAAA=&#10;">
              <v:fill on="f" focussize="0,0"/>
              <v:stroke on="f"/>
              <v:imagedata o:title=""/>
              <o:lock v:ext="edit" aspectratio="f"/>
              <v:textbox inset="0mm,0mm,0mm,0mm" style="mso-fit-shape-to-text:t;">
                <w:txbxContent>
                  <w:p>
                    <w:pPr>
                      <w:pStyle w:val="7"/>
                      <w:rPr>
                        <w:rFonts w:eastAsia="楷体"/>
                      </w:rPr>
                    </w:pPr>
                    <w:r>
                      <w:rPr>
                        <w:rFonts w:eastAsia="楷体"/>
                      </w:rPr>
                      <w:t xml:space="preserve">第 </w:t>
                    </w:r>
                    <w:r>
                      <w:rPr>
                        <w:rFonts w:eastAsia="楷体"/>
                      </w:rPr>
                      <w:fldChar w:fldCharType="begin"/>
                    </w:r>
                    <w:r>
                      <w:rPr>
                        <w:rFonts w:eastAsia="楷体"/>
                      </w:rPr>
                      <w:instrText xml:space="preserve"> PAGE  \* MERGEFORMAT </w:instrText>
                    </w:r>
                    <w:r>
                      <w:rPr>
                        <w:rFonts w:eastAsia="楷体"/>
                      </w:rPr>
                      <w:fldChar w:fldCharType="separate"/>
                    </w:r>
                    <w:r>
                      <w:rPr>
                        <w:rFonts w:eastAsia="楷体"/>
                      </w:rPr>
                      <w:t>20</w:t>
                    </w:r>
                    <w:r>
                      <w:rPr>
                        <w:rFonts w:eastAsia="楷体"/>
                      </w:rPr>
                      <w:fldChar w:fldCharType="end"/>
                    </w:r>
                    <w:r>
                      <w:rPr>
                        <w:rFonts w:eastAsia="楷体"/>
                      </w:rPr>
                      <w:t xml:space="preserve"> 页 共 </w:t>
                    </w:r>
                    <w:r>
                      <w:rPr>
                        <w:rFonts w:eastAsia="楷体"/>
                      </w:rPr>
                      <w:fldChar w:fldCharType="begin"/>
                    </w:r>
                    <w:r>
                      <w:rPr>
                        <w:rFonts w:eastAsia="楷体"/>
                      </w:rPr>
                      <w:instrText xml:space="preserve"> NUMPAGES  \* MERGEFORMAT </w:instrText>
                    </w:r>
                    <w:r>
                      <w:rPr>
                        <w:rFonts w:eastAsia="楷体"/>
                      </w:rPr>
                      <w:fldChar w:fldCharType="separate"/>
                    </w:r>
                    <w:r>
                      <w:rPr>
                        <w:rFonts w:eastAsia="楷体"/>
                      </w:rPr>
                      <w:t>20</w:t>
                    </w:r>
                    <w:r>
                      <w:rPr>
                        <w:rFonts w:eastAsia="楷体"/>
                      </w:rPr>
                      <w:fldChar w:fldCharType="end"/>
                    </w:r>
                    <w:r>
                      <w:rPr>
                        <w:rFonts w:eastAsia="楷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楷体" w:hAnsi="楷体" w:eastAsia="楷体" w:cs="楷体"/>
        <w:sz w:val="21"/>
        <w:szCs w:val="21"/>
      </w:rPr>
    </w:pPr>
    <w:r>
      <w:drawing>
        <wp:inline distT="0" distB="0" distL="0" distR="0">
          <wp:extent cx="438150" cy="438150"/>
          <wp:effectExtent l="0" t="0" r="0" b="0"/>
          <wp:docPr id="3" name="图片 3"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8150" cy="438150"/>
                  </a:xfrm>
                  <a:prstGeom prst="rect">
                    <a:avLst/>
                  </a:prstGeom>
                  <a:noFill/>
                  <a:ln>
                    <a:noFill/>
                  </a:ln>
                  <a:effectLst/>
                </pic:spPr>
              </pic:pic>
            </a:graphicData>
          </a:graphic>
        </wp:inline>
      </w:drawing>
    </w:r>
    <w:r>
      <w:rPr>
        <w:rFonts w:hint="eastAsia" w:ascii="楷体" w:hAnsi="楷体" w:eastAsia="楷体" w:cs="楷体"/>
        <w:sz w:val="21"/>
        <w:szCs w:val="21"/>
      </w:rPr>
      <w:t xml:space="preserve">提供食品生产许可办理全程技术服务   </w:t>
    </w:r>
    <w:r>
      <w:rPr>
        <w:rFonts w:hint="eastAsia" w:ascii="楷体" w:hAnsi="楷体" w:eastAsia="楷体" w:cs="楷体"/>
        <w:sz w:val="21"/>
        <w:szCs w:val="21"/>
      </w:rPr>
      <w:tab/>
    </w:r>
    <w:r>
      <w:rPr>
        <w:rFonts w:hint="eastAsia" w:ascii="楷体" w:hAnsi="楷体" w:eastAsia="楷体" w:cs="楷体"/>
        <w:sz w:val="21"/>
        <w:szCs w:val="21"/>
      </w:rPr>
      <w:t xml:space="preserve">       电话：152 01</w:t>
    </w:r>
    <w:r>
      <w:rPr>
        <w:rFonts w:hint="eastAsia" w:ascii="楷体" w:hAnsi="楷体" w:eastAsia="楷体" w:cs="楷体"/>
        <w:sz w:val="21"/>
        <w:szCs w:val="21"/>
        <w:lang w:val="en-US" w:eastAsia="zh-CN"/>
      </w:rPr>
      <w:t>6</w:t>
    </w:r>
    <w:bookmarkStart w:id="14" w:name="_GoBack"/>
    <w:bookmarkEnd w:id="14"/>
    <w:r>
      <w:rPr>
        <w:rFonts w:hint="eastAsia" w:ascii="楷体" w:hAnsi="楷体" w:eastAsia="楷体" w:cs="楷体"/>
        <w:sz w:val="21"/>
        <w:szCs w:val="21"/>
      </w:rPr>
      <w:t>0 3266（微信同号）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kY2QyODhlNzk1NGE3YTEwZTEzMzM5NDg5MDFkNzEifQ=="/>
  </w:docVars>
  <w:rsids>
    <w:rsidRoot w:val="00CB231E"/>
    <w:rsid w:val="0007556E"/>
    <w:rsid w:val="0012622B"/>
    <w:rsid w:val="00214CDC"/>
    <w:rsid w:val="003661A5"/>
    <w:rsid w:val="003C322E"/>
    <w:rsid w:val="004E2BB3"/>
    <w:rsid w:val="0065422A"/>
    <w:rsid w:val="00670369"/>
    <w:rsid w:val="006C42D2"/>
    <w:rsid w:val="00707C49"/>
    <w:rsid w:val="007B7878"/>
    <w:rsid w:val="00827D09"/>
    <w:rsid w:val="008616BF"/>
    <w:rsid w:val="00874C51"/>
    <w:rsid w:val="008B33CC"/>
    <w:rsid w:val="008C0F1D"/>
    <w:rsid w:val="00B97A88"/>
    <w:rsid w:val="00C31DFC"/>
    <w:rsid w:val="00C53DEA"/>
    <w:rsid w:val="00C57B15"/>
    <w:rsid w:val="00CB231E"/>
    <w:rsid w:val="00E65D29"/>
    <w:rsid w:val="74C3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ind w:left="840" w:leftChars="400"/>
    </w:p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unhideWhenUsed/>
    <w:qFormat/>
    <w:uiPriority w:val="39"/>
    <w:pPr>
      <w:ind w:left="420" w:leftChars="200"/>
    </w:pPr>
  </w:style>
  <w:style w:type="paragraph" w:styleId="10">
    <w:name w:val="Body Text 2"/>
    <w:basedOn w:val="1"/>
    <w:link w:val="15"/>
    <w:qFormat/>
    <w:uiPriority w:val="0"/>
    <w:pPr>
      <w:spacing w:after="120" w:line="480" w:lineRule="auto"/>
    </w:p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标题 2 Char"/>
    <w:basedOn w:val="12"/>
    <w:link w:val="3"/>
    <w:qFormat/>
    <w:uiPriority w:val="0"/>
    <w:rPr>
      <w:rFonts w:ascii="Arial" w:hAnsi="Arial" w:eastAsia="黑体" w:cs="Times New Roman"/>
      <w:b/>
      <w:kern w:val="0"/>
      <w:sz w:val="32"/>
      <w:szCs w:val="20"/>
    </w:rPr>
  </w:style>
  <w:style w:type="character" w:customStyle="1" w:styleId="15">
    <w:name w:val="正文文本 2 Char"/>
    <w:basedOn w:val="12"/>
    <w:link w:val="10"/>
    <w:qFormat/>
    <w:uiPriority w:val="0"/>
    <w:rPr>
      <w:rFonts w:ascii="Times New Roman" w:hAnsi="Times New Roman" w:eastAsia="宋体" w:cs="Times New Roman"/>
      <w:szCs w:val="24"/>
    </w:rPr>
  </w:style>
  <w:style w:type="character" w:customStyle="1" w:styleId="16">
    <w:name w:val="页眉 Char"/>
    <w:basedOn w:val="12"/>
    <w:link w:val="8"/>
    <w:qFormat/>
    <w:uiPriority w:val="99"/>
    <w:rPr>
      <w:rFonts w:ascii="Times New Roman" w:hAnsi="Times New Roman" w:eastAsia="宋体" w:cs="Times New Roman"/>
      <w:sz w:val="18"/>
      <w:szCs w:val="18"/>
    </w:rPr>
  </w:style>
  <w:style w:type="character" w:customStyle="1" w:styleId="17">
    <w:name w:val="页脚 Char"/>
    <w:basedOn w:val="12"/>
    <w:link w:val="7"/>
    <w:qFormat/>
    <w:uiPriority w:val="99"/>
    <w:rPr>
      <w:rFonts w:ascii="Times New Roman" w:hAnsi="Times New Roman" w:eastAsia="宋体" w:cs="Times New Roman"/>
      <w:sz w:val="18"/>
      <w:szCs w:val="18"/>
    </w:rPr>
  </w:style>
  <w:style w:type="character" w:customStyle="1" w:styleId="18">
    <w:name w:val="标题 3 Char"/>
    <w:basedOn w:val="12"/>
    <w:link w:val="4"/>
    <w:qFormat/>
    <w:uiPriority w:val="9"/>
    <w:rPr>
      <w:rFonts w:ascii="Times New Roman" w:hAnsi="Times New Roman" w:eastAsia="宋体" w:cs="Times New Roman"/>
      <w:b/>
      <w:bCs/>
      <w:sz w:val="32"/>
      <w:szCs w:val="32"/>
    </w:rPr>
  </w:style>
  <w:style w:type="character" w:customStyle="1" w:styleId="19">
    <w:name w:val="标题 1 Char"/>
    <w:basedOn w:val="12"/>
    <w:link w:val="2"/>
    <w:qFormat/>
    <w:uiPriority w:val="9"/>
    <w:rPr>
      <w:rFonts w:ascii="Times New Roman" w:hAnsi="Times New Roman" w:eastAsia="宋体" w:cs="Times New Roman"/>
      <w:b/>
      <w:bCs/>
      <w:kern w:val="44"/>
      <w:sz w:val="44"/>
      <w:szCs w:val="44"/>
    </w:rPr>
  </w:style>
  <w:style w:type="paragraph" w:customStyle="1" w:styleId="2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1">
    <w:name w:val="批注框文本 Char"/>
    <w:basedOn w:val="12"/>
    <w:link w:val="6"/>
    <w:semiHidden/>
    <w:qFormat/>
    <w:uiPriority w:val="99"/>
    <w:rPr>
      <w:rFonts w:ascii="Times New Roman" w:hAnsi="Times New Roman" w:eastAsia="宋体" w:cs="Times New Roman"/>
      <w:sz w:val="18"/>
      <w:szCs w:val="18"/>
    </w:rPr>
  </w:style>
  <w:style w:type="paragraph" w:customStyle="1" w:styleId="22">
    <w:name w:val="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8595</Words>
  <Characters>9204</Characters>
  <Lines>74</Lines>
  <Paragraphs>21</Paragraphs>
  <TotalTime>39</TotalTime>
  <ScaleCrop>false</ScaleCrop>
  <LinksUpToDate>false</LinksUpToDate>
  <CharactersWithSpaces>9326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2019-06-03T02:00:00Z</dcterms:created>
  <dc:creator>HH</dc:creator>
  <cp:lastModifiedBy>Terry</cp:lastModifiedBy>
  <cp:lastPrinted>2019-06-03T05:39:00Z</cp:lastPrinted>
  <dcterms:modified xsi:type="dcterms:W3CDTF">2024-06-14T03:27:23Z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D4D99D72AEC14E5F831A8B47765046EA_12</vt:lpwstr>
  </property>
</Properties>
</file>